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PROSIDING*</w:t>
      </w:r>
    </w:p>
    <w:p>
      <w:pPr>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r>
              <w:rPr>
                <w:rFonts w:cs="Calibri" w:asciiTheme="minorHAnsi" w:hAnsiTheme="minorHAnsi"/>
                <w:b/>
                <w:bCs/>
                <w:sz w:val="20"/>
                <w:szCs w:val="20"/>
              </w:rPr>
              <w:t>Analisis Situational Awareness pada Pengemudi Ojek Online Roda Dua di Kota Yogyakarta dengan Metode QUASA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4</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 xml:space="preserve">2 </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Prosiding</w:t>
            </w:r>
            <w:r>
              <w:rPr>
                <w:rFonts w:cs="Calibri" w:asciiTheme="minorHAnsi" w:hAnsiTheme="minorHAnsi"/>
                <w:sz w:val="20"/>
                <w:szCs w:val="20"/>
              </w:rPr>
              <w:t xml:space="preserve">           </w:t>
            </w:r>
            <w:r>
              <w:rPr>
                <w:rFonts w:cs="Calibri" w:asciiTheme="minorHAnsi" w:hAnsiTheme="minorHAnsi"/>
                <w:sz w:val="20"/>
                <w:szCs w:val="20"/>
                <w:lang w:val="id-ID"/>
              </w:rPr>
              <w:t xml:space="preserve">: </w:t>
            </w:r>
            <w:r>
              <w:rPr>
                <w:rFonts w:cs="Calibri" w:asciiTheme="minorHAnsi" w:hAnsiTheme="minorHAnsi"/>
                <w:sz w:val="20"/>
                <w:szCs w:val="20"/>
              </w:rPr>
              <w:t>Industrial Engineering Conference (IEC) 2019</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ISBN/ISSN               :</w:t>
            </w:r>
            <w:r>
              <w:rPr>
                <w:rFonts w:cs="Calibri" w:asciiTheme="minorHAnsi" w:hAnsiTheme="minorHAnsi"/>
                <w:sz w:val="20"/>
                <w:szCs w:val="20"/>
              </w:rPr>
              <w:t xml:space="preserve"> 978-979-96854-7-6</w:t>
            </w:r>
          </w:p>
          <w:p>
            <w:pPr>
              <w:ind w:left="34" w:hanging="34"/>
              <w:rPr>
                <w:rFonts w:cs="Calibri" w:asciiTheme="minorHAnsi" w:hAnsiTheme="minorHAnsi"/>
                <w:sz w:val="20"/>
                <w:szCs w:val="20"/>
                <w:lang w:val="id-ID"/>
              </w:rPr>
            </w:pPr>
            <w:r>
              <w:rPr>
                <w:rFonts w:cs="Calibri" w:asciiTheme="minorHAnsi" w:hAnsiTheme="minorHAnsi"/>
                <w:sz w:val="20"/>
                <w:szCs w:val="20"/>
                <w:lang w:val="id-ID"/>
              </w:rPr>
              <w:t>c. Tahun Terbit                 :</w:t>
            </w:r>
            <w:r>
              <w:rPr>
                <w:lang w:val="id-ID"/>
              </w:rPr>
              <w:t xml:space="preserve"> </w:t>
            </w:r>
            <w:r>
              <w:rPr>
                <w:rFonts w:cs="Calibri" w:asciiTheme="minorHAnsi" w:hAnsiTheme="minorHAnsi"/>
                <w:sz w:val="20"/>
                <w:szCs w:val="20"/>
              </w:rPr>
              <w:t>26 Oktober 2019</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Alamat web prosiding :</w:t>
            </w:r>
            <w:r>
              <w:rPr>
                <w:rFonts w:cs="Calibri" w:asciiTheme="minorHAnsi" w:hAnsiTheme="minorHAnsi"/>
                <w:sz w:val="20"/>
                <w:szCs w:val="20"/>
              </w:rPr>
              <w:t xml:space="preserve"> http://eprints.upnyk.ac.id/22313/</w:t>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8240"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58240;mso-width-relative:page;mso-height-relative:page;" fillcolor="#FFFFFF" filled="t" stroked="t"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1vFNMtcAAAAJAQAADwAAAAAAAAABACAAAAA4AAAAZHJzL2Rvd25yZXYueG1sUEsBAhQA&#10;FAAAAAgAh07iQG/474AWAgAAPQQAAA4AAAAAAAAAAQAgAAAAPAEAAGRycy9lMm9Eb2MueG1sUEsF&#10;BgAAAAAGAAYAWQEAAMQFAAAAAA==&#10;">
                <v:fill on="t" focussize="0,0"/>
                <v:stroke color="#000000" miterlimit="8" joinstyle="miter"/>
                <v:imagedata o:title=""/>
                <o:lock v:ext="edit" aspectratio="f"/>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Prosiding Internasional</w:t>
      </w:r>
    </w:p>
    <w:p>
      <w:pPr>
        <w:rPr>
          <w:rFonts w:cs="Calibri" w:asciiTheme="minorHAnsi" w:hAnsiTheme="minorHAnsi"/>
          <w:sz w:val="20"/>
          <w:szCs w:val="20"/>
          <w:lang w:val="id-ID"/>
        </w:rPr>
      </w:pPr>
      <w: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59264;mso-width-relative:page;mso-height-relative:page;" fillcolor="#FFFFFF" filled="t" stroked="t"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eAAcTYAAAACQEAAA8AAAAAAAAAAQAgAAAAOAAAAGRycy9kb3ducmV2LnhtbFBLAQIU&#10;ABQAAAAIAIdO4kADU5iOFgIAAD0EAAAOAAAAAAAAAAEAIAAAAD0BAABkcnMvZTJvRG9jLnhtbFBL&#10;BQYAAAAABgAGAFkBAADFBQAAAAA=&#10;">
                <v:fill on="t" focussize="0,0"/>
                <v:stroke color="#000000" miterlimit="8" joinstyle="miter"/>
                <v:imagedata o:title=""/>
                <o:lock v:ext="edit" aspectratio="f"/>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 xml:space="preserve">Prosiding Nasional </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0288;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A+DuIw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Prosiding Terindeks SCOPUS</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439"/>
        <w:gridCol w:w="2409"/>
        <w:gridCol w:w="1985"/>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6833" w:type="dxa"/>
            <w:gridSpan w:val="3"/>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Prosiding Ilmiah (isikan di kolom yang sesuai)</w:t>
            </w:r>
          </w:p>
        </w:tc>
        <w:tc>
          <w:tcPr>
            <w:tcW w:w="141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1951" w:type="dxa"/>
            <w:vMerge w:val="continue"/>
          </w:tcPr>
          <w:p>
            <w:pPr>
              <w:rPr>
                <w:rFonts w:cs="Calibri" w:asciiTheme="minorHAnsi" w:hAnsiTheme="minorHAnsi"/>
                <w:sz w:val="20"/>
                <w:szCs w:val="20"/>
                <w:lang w:val="id-ID"/>
              </w:rPr>
            </w:pP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Internasional</w:t>
            </w: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Nasional</w:t>
            </w:r>
          </w:p>
        </w:tc>
        <w:tc>
          <w:tcPr>
            <w:tcW w:w="1985"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Terindeks SCOPUS</w:t>
            </w:r>
          </w:p>
        </w:tc>
        <w:tc>
          <w:tcPr>
            <w:tcW w:w="1411"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2439" w:type="dxa"/>
            <w:vAlign w:val="center"/>
          </w:tcPr>
          <w:p>
            <w:pPr>
              <w:jc w:val="center"/>
              <w:rPr>
                <w:rFonts w:cs="Calibri" w:asciiTheme="minorHAnsi" w:hAnsiTheme="minorHAnsi"/>
                <w:b/>
                <w:bCs/>
                <w:sz w:val="20"/>
                <w:szCs w:val="20"/>
                <w:lang w:val="id-ID"/>
              </w:rPr>
            </w:pPr>
          </w:p>
        </w:tc>
        <w:tc>
          <w:tcPr>
            <w:tcW w:w="2409"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985" w:type="dxa"/>
            <w:vAlign w:val="center"/>
          </w:tcPr>
          <w:p>
            <w:pPr>
              <w:jc w:val="cente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6833" w:type="dxa"/>
            <w:gridSpan w:val="3"/>
            <w:vAlign w:val="center"/>
          </w:tcPr>
          <w:p>
            <w:pP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4"/>
          </w:tcPr>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7"/>
              <w:spacing w:line="276" w:lineRule="auto"/>
              <w:ind w:left="361"/>
              <w:textAlignment w:val="baseline"/>
              <w:rPr>
                <w:rFonts w:asciiTheme="minorHAnsi" w:hAnsiTheme="minorHAnsi" w:cstheme="minorHAnsi"/>
                <w:sz w:val="20"/>
                <w:szCs w:val="20"/>
              </w:rPr>
            </w:pPr>
            <w:r>
              <w:rPr>
                <w:rFonts w:asciiTheme="minorHAnsi" w:hAnsiTheme="minorHAnsi" w:cstheme="minorHAnsi"/>
                <w:sz w:val="20"/>
                <w:szCs w:val="20"/>
              </w:rPr>
              <w:t xml:space="preserve">Paper ditulis dengan rapi menggunakan EYD yang benar dan sesuai dengan struktur artikel standar sebagaimana instruksi yang diminta penerbit prosiding.  Abstrak diuraikan dengan jelas sehingga memberikan gambaran tentang inti dari tulisan. Pustaka yang digunakan belum memadai namun tersitasi dengan baik. Terdapat benang merah antara topik – latar belakang – tujuan – metodologi – penjaringan data sebaran kuesioner. </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7"/>
              <w:spacing w:line="276" w:lineRule="auto"/>
              <w:ind w:left="361"/>
              <w:textAlignment w:val="baseline"/>
              <w:rPr>
                <w:rFonts w:asciiTheme="minorHAnsi" w:hAnsiTheme="minorHAnsi" w:cstheme="minorHAnsi"/>
                <w:b/>
                <w:bCs/>
                <w:sz w:val="20"/>
                <w:szCs w:val="20"/>
                <w:lang w:val="id-ID"/>
              </w:rPr>
            </w:pPr>
            <w:r>
              <w:rPr>
                <w:rFonts w:asciiTheme="minorHAnsi" w:hAnsiTheme="minorHAnsi" w:cstheme="minorHAnsi"/>
                <w:sz w:val="20"/>
                <w:szCs w:val="20"/>
              </w:rPr>
              <w:t xml:space="preserve">Penelitian dengan judul </w:t>
            </w:r>
            <w:r>
              <w:rPr>
                <w:rFonts w:cs="Calibri" w:asciiTheme="minorHAnsi" w:hAnsiTheme="minorHAnsi"/>
                <w:sz w:val="20"/>
                <w:szCs w:val="20"/>
              </w:rPr>
              <w:t xml:space="preserve">Analisis </w:t>
            </w:r>
            <w:r>
              <w:rPr>
                <w:rFonts w:cs="Calibri" w:asciiTheme="minorHAnsi" w:hAnsiTheme="minorHAnsi"/>
                <w:i/>
                <w:iCs/>
                <w:sz w:val="20"/>
                <w:szCs w:val="20"/>
              </w:rPr>
              <w:t>Situational Awareness</w:t>
            </w:r>
            <w:r>
              <w:rPr>
                <w:rFonts w:cs="Calibri" w:asciiTheme="minorHAnsi" w:hAnsiTheme="minorHAnsi"/>
                <w:sz w:val="20"/>
                <w:szCs w:val="20"/>
              </w:rPr>
              <w:t xml:space="preserve"> pada Pengemudi </w:t>
            </w:r>
            <w:r>
              <w:rPr>
                <w:rFonts w:cs="Calibri" w:asciiTheme="minorHAnsi" w:hAnsiTheme="minorHAnsi"/>
                <w:i/>
                <w:iCs/>
                <w:sz w:val="20"/>
                <w:szCs w:val="20"/>
              </w:rPr>
              <w:t>Ojek Online</w:t>
            </w:r>
            <w:r>
              <w:rPr>
                <w:rFonts w:cs="Calibri" w:asciiTheme="minorHAnsi" w:hAnsiTheme="minorHAnsi"/>
                <w:sz w:val="20"/>
                <w:szCs w:val="20"/>
              </w:rPr>
              <w:t xml:space="preserve"> Roda Dua di Kota Yogyakarta dengan Metode QUASA</w:t>
            </w:r>
            <w:r>
              <w:rPr>
                <w:rFonts w:asciiTheme="minorHAnsi" w:hAnsiTheme="minorHAnsi" w:cstheme="minorHAnsi"/>
                <w:sz w:val="20"/>
                <w:szCs w:val="20"/>
              </w:rPr>
              <w:t xml:space="preserve"> dilaksanakan sampai pada tahap perolehan sebaran hasil kuesioner QUASA menggunakan dua skenario</w:t>
            </w:r>
            <w:r>
              <w:rPr>
                <w:rFonts w:asciiTheme="minorHAnsi" w:hAnsiTheme="minorHAnsi" w:cstheme="minorHAnsi"/>
                <w:i/>
                <w:iCs/>
                <w:sz w:val="20"/>
                <w:szCs w:val="20"/>
              </w:rPr>
              <w:t xml:space="preserve">, </w:t>
            </w:r>
            <w:r>
              <w:rPr>
                <w:rFonts w:asciiTheme="minorHAnsi" w:hAnsiTheme="minorHAnsi" w:cstheme="minorHAnsi"/>
                <w:sz w:val="20"/>
                <w:szCs w:val="20"/>
              </w:rPr>
              <w:t xml:space="preserve"> belum sampai  pada penentuan nilai SDT. Pembahasan dilakukan dengan baik namun belum menampilkan keterkaitan antara Pustaka dengan hasil penelitian.  Kontribusi hasil penelitian terhadap</w:t>
            </w:r>
            <w:r>
              <w:t xml:space="preserve"> </w:t>
            </w:r>
            <w:r>
              <w:rPr>
                <w:rFonts w:asciiTheme="minorHAnsi" w:hAnsiTheme="minorHAnsi" w:cstheme="minorHAnsi"/>
                <w:i/>
                <w:iCs/>
                <w:sz w:val="20"/>
                <w:szCs w:val="20"/>
              </w:rPr>
              <w:t>awareness</w:t>
            </w:r>
            <w:r>
              <w:rPr>
                <w:rFonts w:asciiTheme="minorHAnsi" w:hAnsiTheme="minorHAnsi" w:cstheme="minorHAnsi"/>
                <w:sz w:val="20"/>
                <w:szCs w:val="20"/>
              </w:rPr>
              <w:t xml:space="preserve"> pengemudi </w:t>
            </w:r>
            <w:r>
              <w:rPr>
                <w:rFonts w:cs="Calibri" w:asciiTheme="minorHAnsi" w:hAnsiTheme="minorHAnsi"/>
                <w:i/>
                <w:iCs/>
                <w:sz w:val="20"/>
                <w:szCs w:val="20"/>
              </w:rPr>
              <w:t>Ojek Online</w:t>
            </w:r>
            <w:r>
              <w:rPr>
                <w:rFonts w:cs="Calibri" w:asciiTheme="minorHAnsi" w:hAnsiTheme="minorHAnsi"/>
                <w:sz w:val="20"/>
                <w:szCs w:val="20"/>
              </w:rPr>
              <w:t xml:space="preserve"> Roda Dua </w:t>
            </w:r>
            <w:r>
              <w:rPr>
                <w:rFonts w:asciiTheme="minorHAnsi" w:hAnsiTheme="minorHAnsi" w:cstheme="minorHAnsi"/>
                <w:sz w:val="20"/>
                <w:szCs w:val="20"/>
              </w:rPr>
              <w:t xml:space="preserve">terlihat pada data sebaran kuesioner antara skenario menggunakan HP dan aplikasi peta online. </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Penelitian ini telah memilih sasaran responden yang tepat yaitu pengemudi </w:t>
            </w:r>
            <w:r>
              <w:rPr>
                <w:rFonts w:cs="Calibri" w:asciiTheme="minorHAnsi" w:hAnsiTheme="minorHAnsi"/>
                <w:i/>
                <w:iCs/>
                <w:sz w:val="20"/>
                <w:szCs w:val="20"/>
              </w:rPr>
              <w:t>Ojek Online</w:t>
            </w:r>
            <w:r>
              <w:rPr>
                <w:rFonts w:cs="Calibri" w:asciiTheme="minorHAnsi" w:hAnsiTheme="minorHAnsi"/>
                <w:sz w:val="20"/>
                <w:szCs w:val="20"/>
              </w:rPr>
              <w:t xml:space="preserve"> roda dua </w:t>
            </w:r>
            <w:r>
              <w:rPr>
                <w:rFonts w:asciiTheme="minorHAnsi" w:hAnsiTheme="minorHAnsi" w:cstheme="minorHAnsi"/>
                <w:sz w:val="20"/>
                <w:szCs w:val="20"/>
              </w:rPr>
              <w:t xml:space="preserve">di Yogyakarta sejumlah 30 orang. Pengumpulan data demografi dan kuesioner QUASA diberikan kepada responden pada rentang usia tertentu telah dilakukan dengan tepat. Metodologi yang dilakukan sesuai dengan metode QUASA sampai pada perolehan data hasil pengisian kuesioner sehingga diperoleh gambaran hasil dari dua scenario yang dikerjakan. Belum dilakukan uji korelasi pada penggunaan HP saat berkendara oleh para </w:t>
            </w:r>
            <w:r>
              <w:rPr>
                <w:rFonts w:asciiTheme="minorHAnsi" w:hAnsiTheme="minorHAnsi" w:cstheme="minorHAnsi"/>
                <w:i/>
                <w:iCs/>
                <w:sz w:val="20"/>
                <w:szCs w:val="20"/>
              </w:rPr>
              <w:t>ojek online</w:t>
            </w:r>
            <w:r>
              <w:rPr>
                <w:rFonts w:asciiTheme="minorHAnsi" w:hAnsiTheme="minorHAnsi" w:cstheme="minorHAnsi"/>
                <w:sz w:val="20"/>
                <w:szCs w:val="20"/>
              </w:rPr>
              <w:t xml:space="preserve">, dengan tingkat </w:t>
            </w:r>
            <w:r>
              <w:rPr>
                <w:rFonts w:asciiTheme="minorHAnsi" w:hAnsiTheme="minorHAnsi" w:cstheme="minorHAnsi"/>
                <w:i/>
                <w:iCs/>
                <w:sz w:val="20"/>
                <w:szCs w:val="20"/>
              </w:rPr>
              <w:t>Situational Awareness.</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pStyle w:val="2"/>
              <w:shd w:val="clear" w:color="auto" w:fill="FFFFFF"/>
              <w:spacing w:before="150"/>
              <w:ind w:left="391"/>
              <w:rPr>
                <w:rFonts w:asciiTheme="minorHAnsi" w:hAnsiTheme="minorHAnsi" w:cstheme="minorHAnsi"/>
                <w:b w:val="0"/>
                <w:bCs/>
                <w:color w:val="000000"/>
                <w:sz w:val="20"/>
                <w:szCs w:val="20"/>
              </w:rPr>
            </w:pPr>
            <w:r>
              <w:rPr>
                <w:rFonts w:asciiTheme="minorHAnsi" w:hAnsiTheme="minorHAnsi" w:cstheme="minorHAnsi"/>
                <w:b w:val="0"/>
                <w:bCs/>
                <w:sz w:val="20"/>
                <w:szCs w:val="20"/>
              </w:rPr>
              <w:t>Tulisan ini merupakan hasil dari seminar</w:t>
            </w:r>
            <w:r>
              <w:rPr>
                <w:rFonts w:asciiTheme="minorHAnsi" w:hAnsiTheme="minorHAnsi" w:cstheme="minorHAnsi"/>
                <w:sz w:val="20"/>
                <w:szCs w:val="20"/>
              </w:rPr>
              <w:t xml:space="preserve"> </w:t>
            </w:r>
            <w:r>
              <w:rPr>
                <w:rFonts w:asciiTheme="minorHAnsi" w:hAnsiTheme="minorHAnsi" w:cstheme="minorHAnsi"/>
                <w:b w:val="0"/>
                <w:bCs/>
                <w:color w:val="000000"/>
                <w:sz w:val="20"/>
                <w:szCs w:val="20"/>
              </w:rPr>
              <w:t xml:space="preserve">Nasional </w:t>
            </w:r>
            <w:r>
              <w:rPr>
                <w:rFonts w:asciiTheme="minorHAnsi" w:hAnsiTheme="minorHAnsi" w:cstheme="minorHAnsi"/>
                <w:b w:val="0"/>
                <w:bCs/>
                <w:i/>
                <w:iCs/>
                <w:color w:val="000000"/>
                <w:sz w:val="20"/>
                <w:szCs w:val="20"/>
              </w:rPr>
              <w:t>Industrial Engineering Conference</w:t>
            </w:r>
            <w:r>
              <w:rPr>
                <w:rFonts w:asciiTheme="minorHAnsi" w:hAnsiTheme="minorHAnsi" w:cstheme="minorHAnsi"/>
                <w:b w:val="0"/>
                <w:bCs/>
                <w:color w:val="000000"/>
                <w:sz w:val="20"/>
                <w:szCs w:val="20"/>
              </w:rPr>
              <w:t xml:space="preserve"> (NIEC) 2019 dengan tema "Peranan Ilmu Teknik Industri di Era Industri 4.0" yang diselenggarakan oelh UPN Yogyakarta pada tanggal </w:t>
            </w:r>
            <w:r>
              <w:rPr>
                <w:rFonts w:asciiTheme="minorHAnsi" w:hAnsiTheme="minorHAnsi" w:cstheme="minorHAnsi"/>
                <w:b w:val="0"/>
                <w:bCs/>
                <w:color w:val="000000"/>
                <w:sz w:val="20"/>
                <w:szCs w:val="20"/>
                <w:shd w:val="clear" w:color="auto" w:fill="FFFFFF"/>
              </w:rPr>
              <w:t xml:space="preserve">26 Oktober 2019 di Yogyakarta. Hasil seminar diterbitkan dalam prosiding dengan </w:t>
            </w:r>
            <w:r>
              <w:rPr>
                <w:rFonts w:asciiTheme="minorHAnsi" w:hAnsiTheme="minorHAnsi" w:cstheme="minorHAnsi"/>
                <w:b w:val="0"/>
                <w:bCs/>
                <w:sz w:val="20"/>
                <w:szCs w:val="20"/>
              </w:rPr>
              <w:t xml:space="preserve">no ISBN 975-979-96554-7-6 dan dapat diakses pada laman </w:t>
            </w:r>
            <w:r>
              <w:fldChar w:fldCharType="begin"/>
            </w:r>
            <w:r>
              <w:instrText xml:space="preserve"> HYPERLINK "http://eprints.upnyk.ac.id/22313/" </w:instrText>
            </w:r>
            <w:r>
              <w:fldChar w:fldCharType="separate"/>
            </w:r>
            <w:r>
              <w:rPr>
                <w:rStyle w:val="4"/>
                <w:rFonts w:asciiTheme="minorHAnsi" w:hAnsiTheme="minorHAnsi" w:cstheme="minorHAnsi"/>
                <w:b w:val="0"/>
                <w:bCs/>
                <w:sz w:val="20"/>
                <w:szCs w:val="20"/>
              </w:rPr>
              <w:t>http://eprints.upnyk.ac.id/22313/</w:t>
            </w:r>
            <w:r>
              <w:rPr>
                <w:rStyle w:val="4"/>
                <w:rFonts w:asciiTheme="minorHAnsi" w:hAnsiTheme="minorHAnsi" w:cstheme="minorHAnsi"/>
                <w:b w:val="0"/>
                <w:bCs/>
                <w:sz w:val="20"/>
                <w:szCs w:val="20"/>
              </w:rPr>
              <w:fldChar w:fldCharType="end"/>
            </w:r>
            <w:r>
              <w:rPr>
                <w:rFonts w:asciiTheme="minorHAnsi" w:hAnsiTheme="minorHAnsi" w:cstheme="minorHAnsi"/>
                <w:b w:val="0"/>
                <w:bCs/>
                <w:sz w:val="20"/>
                <w:szCs w:val="20"/>
              </w:rPr>
              <w:t xml:space="preserve"> </w:t>
            </w:r>
          </w:p>
          <w:p>
            <w:pPr>
              <w:pStyle w:val="7"/>
              <w:spacing w:line="276" w:lineRule="auto"/>
              <w:ind w:left="361"/>
              <w:textAlignment w:val="baseline"/>
              <w:rPr>
                <w:rFonts w:asciiTheme="minorHAnsi" w:hAnsiTheme="minorHAnsi" w:cstheme="minorHAnsi"/>
                <w:sz w:val="20"/>
                <w:szCs w:val="20"/>
              </w:rPr>
            </w:pPr>
          </w:p>
          <w:p>
            <w:pPr>
              <w:pStyle w:val="8"/>
              <w:numPr>
                <w:ilvl w:val="0"/>
                <w:numId w:val="2"/>
              </w:numPr>
              <w:ind w:left="361"/>
              <w:rPr>
                <w:rFonts w:cs="Calibri" w:asciiTheme="minorHAnsi" w:hAnsiTheme="minorHAnsi"/>
                <w:b/>
                <w:bCs/>
                <w:sz w:val="20"/>
                <w:szCs w:val="20"/>
                <w:lang w:val="id-ID"/>
              </w:rPr>
            </w:pPr>
            <w:r>
              <w:rPr>
                <w:rFonts w:cs="Calibri" w:asciiTheme="minorHAnsi" w:hAnsiTheme="minorHAnsi"/>
                <w:b/>
                <w:bCs/>
                <w:sz w:val="20"/>
                <w:szCs w:val="20"/>
                <w:lang w:val="id-ID"/>
              </w:rPr>
              <w:t>Indikasi plagiasi:</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ind w:left="361" w:hanging="283"/>
              <w:rPr>
                <w:rFonts w:cs="Calibri" w:asciiTheme="minorHAnsi" w:hAnsiTheme="minorHAnsi"/>
                <w:b/>
                <w:bCs/>
                <w:sz w:val="20"/>
                <w:szCs w:val="20"/>
                <w:lang w:val="id-ID"/>
              </w:rPr>
            </w:pPr>
          </w:p>
          <w:p>
            <w:pPr>
              <w:pStyle w:val="8"/>
              <w:numPr>
                <w:ilvl w:val="0"/>
                <w:numId w:val="2"/>
              </w:numPr>
              <w:ind w:left="361" w:hanging="283"/>
              <w:rPr>
                <w:rFonts w:cs="Calibri" w:asciiTheme="minorHAnsi" w:hAnsiTheme="minorHAnsi"/>
                <w:b/>
                <w:bCs/>
                <w:sz w:val="20"/>
                <w:szCs w:val="20"/>
                <w:lang w:val="id-ID"/>
              </w:rPr>
            </w:pPr>
            <w:r>
              <w:rPr>
                <w:rFonts w:cs="Calibri" w:asciiTheme="minorHAnsi" w:hAnsiTheme="minorHAnsi"/>
                <w:b/>
                <w:bCs/>
                <w:sz w:val="20"/>
                <w:szCs w:val="20"/>
                <w:lang w:val="id-ID"/>
              </w:rPr>
              <w:t>Kesesuaian bidang ilmu:</w:t>
            </w:r>
          </w:p>
          <w:p>
            <w:pPr>
              <w:pStyle w:val="8"/>
              <w:ind w:left="361"/>
              <w:rPr>
                <w:rFonts w:cs="Calibri" w:asciiTheme="minorHAnsi" w:hAnsi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r>
              <w:rPr>
                <w:rFonts w:cs="Calibri" w:asciiTheme="minorHAnsi" w:hAnsiTheme="minorHAnsi"/>
                <w:b/>
                <w:bCs/>
                <w:sz w:val="20"/>
                <w:szCs w:val="20"/>
                <w:lang w:val="id-ID"/>
              </w:rPr>
              <w:t xml:space="preserve"> </w:t>
            </w: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6"/>
        <w:tblpPr w:leftFromText="180" w:rightFromText="180" w:vertAnchor="text" w:horzAnchor="page" w:tblpX="6920"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3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pPr>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62336" behindDoc="1" locked="0" layoutInCell="1" allowOverlap="1">
            <wp:simplePos x="0" y="0"/>
            <wp:positionH relativeFrom="column">
              <wp:posOffset>360680</wp:posOffset>
            </wp:positionH>
            <wp:positionV relativeFrom="paragraph">
              <wp:posOffset>349250</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w:t>
      </w:r>
      <w:bookmarkStart w:id="0" w:name="_GoBack"/>
      <w:bookmarkEnd w:id="0"/>
      <w:r>
        <w:rPr>
          <w:rFonts w:cs="Calibri" w:asciiTheme="minorHAnsi" w:hAnsiTheme="minorHAnsi"/>
          <w:sz w:val="20"/>
          <w:szCs w:val="20"/>
        </w:rPr>
        <w:t>ad Dahlan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22C"/>
    <w:multiLevelType w:val="multilevel"/>
    <w:tmpl w:val="26E0222C"/>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2B7675"/>
    <w:multiLevelType w:val="multilevel"/>
    <w:tmpl w:val="2E2B767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954CF"/>
    <w:rsid w:val="67DB4C4C"/>
    <w:rsid w:val="7AA9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240"/>
      <w:outlineLvl w:val="0"/>
    </w:pPr>
    <w:rPr>
      <w:rFonts w:eastAsiaTheme="majorEastAsia" w:cstheme="majorBidi"/>
      <w:b/>
      <w:szCs w:val="32"/>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table" w:styleId="6">
    <w:name w:val="Table Grid"/>
    <w:basedOn w:val="5"/>
    <w:qFormat/>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99"/>
    <w:pPr>
      <w:ind w:left="720"/>
      <w:contextualSpacing/>
    </w:pPr>
  </w:style>
  <w:style w:type="paragraph" w:customStyle="1" w:styleId="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2022-04-18T17:38:00Z</dcterms:created>
  <dc:creator>macbook</dc:creator>
  <cp:lastModifiedBy>macbook</cp:lastModifiedBy>
  <dcterms:modified xsi:type="dcterms:W3CDTF">2022-04-24T07:04:44Z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