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7.xml" ContentType="application/vnd.openxmlformats-officedocument.drawingml.chartshapes+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8.xml" ContentType="application/vnd.openxmlformats-officedocument.drawingml.chartshapes+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9.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E9D6" w14:textId="4DEB7135" w:rsidR="00C47240" w:rsidRDefault="00316C87">
      <w:pPr>
        <w:autoSpaceDE w:val="0"/>
        <w:autoSpaceDN w:val="0"/>
        <w:adjustRightInd w:val="0"/>
        <w:spacing w:line="300" w:lineRule="atLeast"/>
        <w:jc w:val="center"/>
        <w:rPr>
          <w:rFonts w:ascii="Times New Roman" w:hAnsi="Times New Roman"/>
          <w:b/>
          <w:bCs/>
          <w:kern w:val="0"/>
          <w:sz w:val="24"/>
        </w:rPr>
      </w:pPr>
      <w:r w:rsidRPr="00A26505">
        <w:rPr>
          <w:rFonts w:ascii="Times New Roman" w:hAnsi="Times New Roman"/>
          <w:b/>
          <w:sz w:val="24"/>
          <w:szCs w:val="28"/>
        </w:rPr>
        <w:t>DESIGN</w:t>
      </w:r>
      <w:r>
        <w:rPr>
          <w:rFonts w:ascii="Times New Roman" w:hAnsi="Times New Roman"/>
          <w:b/>
          <w:sz w:val="24"/>
          <w:szCs w:val="28"/>
        </w:rPr>
        <w:t xml:space="preserve">ING OF </w:t>
      </w:r>
      <w:r w:rsidR="00A26505" w:rsidRPr="00A26505">
        <w:rPr>
          <w:rFonts w:ascii="Times New Roman" w:hAnsi="Times New Roman"/>
          <w:b/>
          <w:sz w:val="24"/>
          <w:szCs w:val="28"/>
        </w:rPr>
        <w:t xml:space="preserve">GOVERNMENT RESOURCE MANAGEMENT SYSTEM </w:t>
      </w:r>
      <w:r>
        <w:rPr>
          <w:rFonts w:ascii="Times New Roman" w:hAnsi="Times New Roman"/>
          <w:b/>
          <w:sz w:val="24"/>
          <w:szCs w:val="28"/>
        </w:rPr>
        <w:t xml:space="preserve">(GRMS) </w:t>
      </w:r>
      <w:r w:rsidR="00A26505" w:rsidRPr="00A26505">
        <w:rPr>
          <w:rFonts w:ascii="Times New Roman" w:hAnsi="Times New Roman"/>
          <w:b/>
          <w:sz w:val="24"/>
          <w:szCs w:val="28"/>
        </w:rPr>
        <w:t>USING THE COBIT 2019 FRAMEWORK</w:t>
      </w:r>
      <w:r w:rsidR="00CB42CD">
        <w:rPr>
          <w:rFonts w:ascii="Times New Roman" w:hAnsi="Times New Roman"/>
          <w:b/>
          <w:sz w:val="24"/>
          <w:szCs w:val="28"/>
        </w:rPr>
        <w:t xml:space="preserve"> FOR SMART CITY</w:t>
      </w:r>
      <w:r w:rsidR="00C47240">
        <w:rPr>
          <w:rFonts w:ascii="Times New Roman" w:hAnsi="Times New Roman" w:hint="eastAsia"/>
          <w:b/>
          <w:bCs/>
          <w:kern w:val="0"/>
          <w:sz w:val="24"/>
        </w:rPr>
        <w:t xml:space="preserve">　</w:t>
      </w:r>
    </w:p>
    <w:p w14:paraId="05708023" w14:textId="77777777" w:rsidR="00C47240" w:rsidRDefault="00C47240">
      <w:pPr>
        <w:autoSpaceDE w:val="0"/>
        <w:autoSpaceDN w:val="0"/>
        <w:adjustRightInd w:val="0"/>
        <w:spacing w:line="300" w:lineRule="atLeast"/>
        <w:jc w:val="center"/>
        <w:rPr>
          <w:rFonts w:ascii="Times New Roman" w:hAnsi="Times New Roman"/>
          <w:kern w:val="0"/>
          <w:sz w:val="24"/>
        </w:rPr>
      </w:pPr>
    </w:p>
    <w:p w14:paraId="2EA64E41" w14:textId="3C0BFC1B" w:rsidR="00CB42CD" w:rsidRDefault="001C2A3A" w:rsidP="00CB42CD">
      <w:pPr>
        <w:autoSpaceDE w:val="0"/>
        <w:autoSpaceDN w:val="0"/>
        <w:adjustRightInd w:val="0"/>
        <w:spacing w:line="300" w:lineRule="atLeast"/>
        <w:jc w:val="center"/>
        <w:rPr>
          <w:rFonts w:ascii="Times New Roman" w:hAnsi="Times New Roman"/>
          <w:smallCaps/>
          <w:kern w:val="0"/>
          <w:sz w:val="24"/>
          <w:vertAlign w:val="superscript"/>
        </w:rPr>
      </w:pPr>
      <w:r>
        <w:rPr>
          <w:rFonts w:ascii="Times New Roman" w:hAnsi="Times New Roman"/>
          <w:smallCaps/>
          <w:kern w:val="0"/>
          <w:sz w:val="24"/>
        </w:rPr>
        <w:t>Agustinus Fritz Wijaya</w:t>
      </w:r>
      <w:r w:rsidR="00F04201">
        <w:rPr>
          <w:rFonts w:ascii="Times New Roman" w:hAnsi="Times New Roman"/>
          <w:smallCaps/>
          <w:kern w:val="0"/>
          <w:sz w:val="24"/>
          <w:vertAlign w:val="superscript"/>
        </w:rPr>
        <w:t>1</w:t>
      </w:r>
      <w:r>
        <w:rPr>
          <w:rFonts w:ascii="Times New Roman" w:hAnsi="Times New Roman"/>
          <w:smallCaps/>
          <w:kern w:val="0"/>
          <w:sz w:val="24"/>
          <w:vertAlign w:val="superscript"/>
        </w:rPr>
        <w:t>,*</w:t>
      </w:r>
      <w:r w:rsidR="00F04201">
        <w:rPr>
          <w:rFonts w:ascii="Times New Roman" w:hAnsi="Times New Roman"/>
          <w:smallCaps/>
          <w:kern w:val="0"/>
          <w:sz w:val="24"/>
        </w:rPr>
        <w:t xml:space="preserve">, </w:t>
      </w:r>
      <w:r w:rsidRPr="001C2A3A">
        <w:rPr>
          <w:rFonts w:ascii="Times New Roman" w:hAnsi="Times New Roman"/>
          <w:smallCaps/>
          <w:kern w:val="0"/>
          <w:sz w:val="24"/>
          <w:lang w:val="id-ID"/>
        </w:rPr>
        <w:t>Azty Acbarrifha Nour</w:t>
      </w:r>
      <w:r w:rsidR="00F04201">
        <w:rPr>
          <w:rFonts w:ascii="Times New Roman" w:hAnsi="Times New Roman"/>
          <w:smallCaps/>
          <w:kern w:val="0"/>
          <w:sz w:val="24"/>
          <w:vertAlign w:val="superscript"/>
        </w:rPr>
        <w:t>2</w:t>
      </w:r>
    </w:p>
    <w:p w14:paraId="58BDCEBB" w14:textId="77777777" w:rsidR="00CB42CD" w:rsidRPr="00CB42CD" w:rsidRDefault="00CB42CD" w:rsidP="00CB42CD">
      <w:pPr>
        <w:autoSpaceDE w:val="0"/>
        <w:autoSpaceDN w:val="0"/>
        <w:adjustRightInd w:val="0"/>
        <w:spacing w:line="300" w:lineRule="atLeast"/>
        <w:jc w:val="center"/>
        <w:rPr>
          <w:rFonts w:ascii="Times New Roman" w:eastAsia="SimSun" w:hAnsi="Times New Roman"/>
          <w:smallCaps/>
          <w:kern w:val="0"/>
          <w:sz w:val="24"/>
          <w:lang w:eastAsia="zh-CN"/>
        </w:rPr>
      </w:pPr>
    </w:p>
    <w:p w14:paraId="152F25E7" w14:textId="5FF8AFAD" w:rsidR="00CB42CD" w:rsidRPr="00CB42CD" w:rsidRDefault="00F04201" w:rsidP="00CB42CD">
      <w:pPr>
        <w:autoSpaceDE w:val="0"/>
        <w:autoSpaceDN w:val="0"/>
        <w:adjustRightInd w:val="0"/>
        <w:jc w:val="center"/>
        <w:rPr>
          <w:rFonts w:ascii="Times New Roman" w:hAnsi="Times New Roman"/>
          <w:kern w:val="0"/>
          <w:sz w:val="20"/>
          <w:szCs w:val="20"/>
        </w:rPr>
      </w:pPr>
      <w:r>
        <w:rPr>
          <w:rFonts w:ascii="Times New Roman" w:hAnsi="Times New Roman"/>
          <w:kern w:val="0"/>
          <w:sz w:val="24"/>
          <w:vertAlign w:val="superscript"/>
        </w:rPr>
        <w:t>1</w:t>
      </w:r>
      <w:r w:rsidR="00CB42CD">
        <w:rPr>
          <w:rFonts w:ascii="Times New Roman" w:hAnsi="Times New Roman"/>
          <w:kern w:val="0"/>
          <w:sz w:val="20"/>
          <w:szCs w:val="20"/>
          <w:lang w:val="id-ID"/>
        </w:rPr>
        <w:t xml:space="preserve">Information System </w:t>
      </w:r>
      <w:r w:rsidR="00CB42CD">
        <w:rPr>
          <w:rFonts w:ascii="Times New Roman" w:hAnsi="Times New Roman"/>
          <w:kern w:val="0"/>
          <w:sz w:val="20"/>
          <w:szCs w:val="20"/>
        </w:rPr>
        <w:t>Department</w:t>
      </w:r>
    </w:p>
    <w:p w14:paraId="7C13E8E3" w14:textId="154002C7" w:rsidR="00CB42CD" w:rsidRPr="00CB42CD" w:rsidRDefault="00CB42CD" w:rsidP="00CB42CD">
      <w:pPr>
        <w:autoSpaceDE w:val="0"/>
        <w:autoSpaceDN w:val="0"/>
        <w:adjustRightInd w:val="0"/>
        <w:jc w:val="center"/>
        <w:rPr>
          <w:rFonts w:ascii="Times New Roman" w:hAnsi="Times New Roman"/>
          <w:kern w:val="0"/>
          <w:sz w:val="20"/>
          <w:szCs w:val="20"/>
        </w:rPr>
      </w:pPr>
      <w:r>
        <w:rPr>
          <w:rFonts w:ascii="Times New Roman" w:hAnsi="Times New Roman"/>
          <w:kern w:val="0"/>
          <w:sz w:val="20"/>
          <w:szCs w:val="20"/>
        </w:rPr>
        <w:t xml:space="preserve">Faculty of </w:t>
      </w:r>
      <w:r w:rsidR="001C2A3A">
        <w:rPr>
          <w:rFonts w:ascii="Times New Roman" w:hAnsi="Times New Roman"/>
          <w:kern w:val="0"/>
          <w:sz w:val="20"/>
          <w:szCs w:val="20"/>
        </w:rPr>
        <w:t>Information Technology</w:t>
      </w:r>
    </w:p>
    <w:p w14:paraId="4CCDC2EB" w14:textId="1E6A5BBD" w:rsidR="00CB42CD" w:rsidRPr="00A26505" w:rsidRDefault="001C2A3A" w:rsidP="00CB42CD">
      <w:pPr>
        <w:autoSpaceDE w:val="0"/>
        <w:autoSpaceDN w:val="0"/>
        <w:adjustRightInd w:val="0"/>
        <w:jc w:val="center"/>
        <w:rPr>
          <w:rFonts w:ascii="Times New Roman" w:hAnsi="Times New Roman"/>
          <w:kern w:val="0"/>
          <w:sz w:val="20"/>
          <w:szCs w:val="20"/>
          <w:lang w:val="id-ID"/>
        </w:rPr>
      </w:pPr>
      <w:r>
        <w:rPr>
          <w:rFonts w:ascii="Times New Roman" w:hAnsi="Times New Roman"/>
          <w:kern w:val="0"/>
          <w:sz w:val="20"/>
          <w:szCs w:val="20"/>
        </w:rPr>
        <w:t>Satya Wacana Christian</w:t>
      </w:r>
      <w:r w:rsidR="00CB42CD">
        <w:rPr>
          <w:rFonts w:ascii="Times New Roman" w:hAnsi="Times New Roman"/>
          <w:kern w:val="0"/>
          <w:sz w:val="20"/>
          <w:szCs w:val="20"/>
          <w:lang w:val="id-ID"/>
        </w:rPr>
        <w:t xml:space="preserve"> University</w:t>
      </w:r>
    </w:p>
    <w:p w14:paraId="0CBB8D76" w14:textId="114E0B24" w:rsidR="00CB42CD" w:rsidRDefault="001C2A3A" w:rsidP="00CB42CD">
      <w:pPr>
        <w:autoSpaceDE w:val="0"/>
        <w:autoSpaceDN w:val="0"/>
        <w:adjustRightInd w:val="0"/>
        <w:jc w:val="center"/>
        <w:rPr>
          <w:rFonts w:ascii="Times New Roman" w:hAnsi="Times New Roman"/>
          <w:kern w:val="0"/>
          <w:sz w:val="20"/>
          <w:szCs w:val="20"/>
        </w:rPr>
      </w:pPr>
      <w:r>
        <w:rPr>
          <w:rFonts w:ascii="Times New Roman" w:hAnsi="Times New Roman"/>
          <w:kern w:val="0"/>
          <w:sz w:val="20"/>
          <w:szCs w:val="20"/>
        </w:rPr>
        <w:t>Diponegoro Street No. 52-60, Salatiga, Central Java</w:t>
      </w:r>
      <w:r w:rsidR="00CB42CD">
        <w:rPr>
          <w:rFonts w:ascii="Times New Roman" w:hAnsi="Times New Roman"/>
          <w:kern w:val="0"/>
          <w:sz w:val="20"/>
          <w:szCs w:val="20"/>
          <w:lang w:val="id-ID"/>
        </w:rPr>
        <w:t>,</w:t>
      </w:r>
      <w:r w:rsidR="00CB42CD">
        <w:rPr>
          <w:rFonts w:ascii="Times New Roman" w:hAnsi="Times New Roman"/>
          <w:kern w:val="0"/>
          <w:sz w:val="20"/>
          <w:szCs w:val="20"/>
        </w:rPr>
        <w:t xml:space="preserve"> </w:t>
      </w:r>
      <w:r w:rsidR="00CB42CD">
        <w:rPr>
          <w:rFonts w:ascii="Times New Roman" w:hAnsi="Times New Roman"/>
          <w:kern w:val="0"/>
          <w:sz w:val="20"/>
          <w:szCs w:val="20"/>
          <w:lang w:val="id-ID"/>
        </w:rPr>
        <w:t>Indonesia</w:t>
      </w:r>
    </w:p>
    <w:p w14:paraId="12FB1A31" w14:textId="7C8DC82C" w:rsidR="00CB42CD" w:rsidRPr="00CB42CD" w:rsidRDefault="001C2A3A" w:rsidP="00CB42CD">
      <w:pPr>
        <w:autoSpaceDE w:val="0"/>
        <w:autoSpaceDN w:val="0"/>
        <w:adjustRightInd w:val="0"/>
        <w:jc w:val="center"/>
        <w:rPr>
          <w:rFonts w:ascii="Times New Roman" w:hAnsi="Times New Roman"/>
          <w:kern w:val="0"/>
          <w:sz w:val="20"/>
          <w:szCs w:val="20"/>
        </w:rPr>
      </w:pPr>
      <w:r>
        <w:rPr>
          <w:rStyle w:val="Hyperlink"/>
          <w:rFonts w:ascii="Times New Roman" w:hAnsi="Times New Roman"/>
          <w:kern w:val="0"/>
          <w:sz w:val="20"/>
          <w:szCs w:val="20"/>
        </w:rPr>
        <w:t>agustinus.wijaya@uksw.edu</w:t>
      </w:r>
    </w:p>
    <w:p w14:paraId="6884F640" w14:textId="7C5EB959" w:rsidR="00C47240" w:rsidRDefault="00C47240">
      <w:pPr>
        <w:autoSpaceDE w:val="0"/>
        <w:autoSpaceDN w:val="0"/>
        <w:adjustRightInd w:val="0"/>
        <w:spacing w:line="0" w:lineRule="atLeast"/>
        <w:jc w:val="center"/>
        <w:rPr>
          <w:rFonts w:ascii="Times New Roman" w:hAnsi="Times New Roman"/>
          <w:kern w:val="0"/>
          <w:sz w:val="24"/>
        </w:rPr>
      </w:pPr>
    </w:p>
    <w:p w14:paraId="75CFF684" w14:textId="1E6CD93E" w:rsidR="00F04201" w:rsidRPr="00A26505" w:rsidRDefault="00F04201" w:rsidP="00F04201">
      <w:pPr>
        <w:autoSpaceDE w:val="0"/>
        <w:autoSpaceDN w:val="0"/>
        <w:adjustRightInd w:val="0"/>
        <w:jc w:val="center"/>
        <w:rPr>
          <w:rFonts w:ascii="Times New Roman" w:hAnsi="Times New Roman"/>
          <w:kern w:val="0"/>
          <w:sz w:val="20"/>
          <w:szCs w:val="20"/>
          <w:lang w:val="id-ID"/>
        </w:rPr>
      </w:pPr>
      <w:r>
        <w:rPr>
          <w:rFonts w:ascii="Times New Roman" w:hAnsi="Times New Roman"/>
          <w:kern w:val="0"/>
          <w:sz w:val="24"/>
          <w:vertAlign w:val="superscript"/>
        </w:rPr>
        <w:t>2</w:t>
      </w:r>
      <w:r>
        <w:rPr>
          <w:rFonts w:ascii="Times New Roman" w:hAnsi="Times New Roman"/>
          <w:kern w:val="0"/>
          <w:sz w:val="20"/>
          <w:szCs w:val="20"/>
          <w:lang w:val="id-ID"/>
        </w:rPr>
        <w:t>Information System Department</w:t>
      </w:r>
    </w:p>
    <w:p w14:paraId="463129AD" w14:textId="2FBEB79A" w:rsidR="00F04201" w:rsidRPr="00CB42CD" w:rsidRDefault="00F04201" w:rsidP="00F04201">
      <w:pPr>
        <w:autoSpaceDE w:val="0"/>
        <w:autoSpaceDN w:val="0"/>
        <w:adjustRightInd w:val="0"/>
        <w:jc w:val="center"/>
        <w:rPr>
          <w:rFonts w:ascii="Times New Roman" w:hAnsi="Times New Roman"/>
          <w:kern w:val="0"/>
          <w:sz w:val="20"/>
          <w:szCs w:val="20"/>
        </w:rPr>
      </w:pPr>
      <w:r>
        <w:rPr>
          <w:rFonts w:ascii="Times New Roman" w:hAnsi="Times New Roman"/>
          <w:kern w:val="0"/>
          <w:sz w:val="20"/>
          <w:szCs w:val="20"/>
        </w:rPr>
        <w:t xml:space="preserve">Faculty of </w:t>
      </w:r>
      <w:r w:rsidR="001C2A3A">
        <w:rPr>
          <w:rFonts w:ascii="Times New Roman" w:hAnsi="Times New Roman"/>
          <w:kern w:val="0"/>
          <w:sz w:val="20"/>
          <w:szCs w:val="20"/>
        </w:rPr>
        <w:t>Science and Applied</w:t>
      </w:r>
      <w:r>
        <w:rPr>
          <w:rFonts w:ascii="Times New Roman" w:hAnsi="Times New Roman"/>
          <w:kern w:val="0"/>
          <w:sz w:val="20"/>
          <w:szCs w:val="20"/>
        </w:rPr>
        <w:t xml:space="preserve"> Technology</w:t>
      </w:r>
    </w:p>
    <w:p w14:paraId="6718B846" w14:textId="43833621" w:rsidR="00F04201" w:rsidRPr="00A26505" w:rsidRDefault="001C2A3A" w:rsidP="00F04201">
      <w:pPr>
        <w:autoSpaceDE w:val="0"/>
        <w:autoSpaceDN w:val="0"/>
        <w:adjustRightInd w:val="0"/>
        <w:jc w:val="center"/>
        <w:rPr>
          <w:rFonts w:ascii="Times New Roman" w:hAnsi="Times New Roman"/>
          <w:kern w:val="0"/>
          <w:sz w:val="20"/>
          <w:szCs w:val="20"/>
          <w:lang w:val="id-ID"/>
        </w:rPr>
      </w:pPr>
      <w:r>
        <w:rPr>
          <w:rFonts w:ascii="Times New Roman" w:hAnsi="Times New Roman"/>
          <w:kern w:val="0"/>
          <w:sz w:val="20"/>
          <w:szCs w:val="20"/>
        </w:rPr>
        <w:t>Ahmad Dahlan</w:t>
      </w:r>
      <w:r w:rsidR="00F04201">
        <w:rPr>
          <w:rFonts w:ascii="Times New Roman" w:hAnsi="Times New Roman"/>
          <w:kern w:val="0"/>
          <w:sz w:val="20"/>
          <w:szCs w:val="20"/>
          <w:lang w:val="id-ID"/>
        </w:rPr>
        <w:t xml:space="preserve"> University</w:t>
      </w:r>
    </w:p>
    <w:p w14:paraId="3A623AE2" w14:textId="781CC63D" w:rsidR="00F04201" w:rsidRDefault="001C2A3A" w:rsidP="00F04201">
      <w:pPr>
        <w:autoSpaceDE w:val="0"/>
        <w:autoSpaceDN w:val="0"/>
        <w:adjustRightInd w:val="0"/>
        <w:jc w:val="center"/>
        <w:rPr>
          <w:rFonts w:ascii="Times New Roman" w:hAnsi="Times New Roman"/>
          <w:kern w:val="0"/>
          <w:sz w:val="20"/>
          <w:szCs w:val="20"/>
        </w:rPr>
      </w:pPr>
      <w:r>
        <w:rPr>
          <w:rFonts w:ascii="Times New Roman" w:hAnsi="Times New Roman"/>
          <w:kern w:val="0"/>
          <w:sz w:val="20"/>
          <w:szCs w:val="20"/>
        </w:rPr>
        <w:t>South Ringroad</w:t>
      </w:r>
      <w:r w:rsidR="00F04201">
        <w:rPr>
          <w:rFonts w:ascii="Times New Roman" w:hAnsi="Times New Roman"/>
          <w:kern w:val="0"/>
          <w:sz w:val="20"/>
          <w:szCs w:val="20"/>
          <w:lang w:val="id-ID"/>
        </w:rPr>
        <w:t xml:space="preserve"> Street</w:t>
      </w:r>
      <w:r w:rsidR="00F04201">
        <w:rPr>
          <w:rFonts w:ascii="Times New Roman" w:hAnsi="Times New Roman"/>
          <w:kern w:val="0"/>
          <w:sz w:val="20"/>
          <w:szCs w:val="20"/>
        </w:rPr>
        <w:t xml:space="preserve">, </w:t>
      </w:r>
      <w:r>
        <w:rPr>
          <w:rFonts w:ascii="Times New Roman" w:hAnsi="Times New Roman"/>
          <w:kern w:val="0"/>
          <w:sz w:val="20"/>
          <w:szCs w:val="20"/>
        </w:rPr>
        <w:t>Kragilan, Tamanan, Banguntapan, Bantul, Yogyakarta</w:t>
      </w:r>
      <w:r w:rsidR="00F04201">
        <w:rPr>
          <w:rFonts w:ascii="Times New Roman" w:hAnsi="Times New Roman"/>
          <w:kern w:val="0"/>
          <w:sz w:val="20"/>
          <w:szCs w:val="20"/>
          <w:lang w:val="id-ID"/>
        </w:rPr>
        <w:t>, Indonesia</w:t>
      </w:r>
    </w:p>
    <w:p w14:paraId="58F97A26" w14:textId="3CEB31CB" w:rsidR="00F04201" w:rsidRDefault="001C2A3A" w:rsidP="00F04201">
      <w:pPr>
        <w:autoSpaceDE w:val="0"/>
        <w:autoSpaceDN w:val="0"/>
        <w:adjustRightInd w:val="0"/>
        <w:spacing w:line="0" w:lineRule="atLeast"/>
        <w:jc w:val="center"/>
        <w:rPr>
          <w:rStyle w:val="Hyperlink"/>
          <w:rFonts w:ascii="Times New Roman" w:hAnsi="Times New Roman"/>
          <w:kern w:val="0"/>
          <w:sz w:val="20"/>
          <w:szCs w:val="20"/>
          <w:lang w:val="id-ID"/>
        </w:rPr>
      </w:pPr>
      <w:hyperlink r:id="rId7" w:history="1">
        <w:r w:rsidRPr="00431353">
          <w:rPr>
            <w:rStyle w:val="Hyperlink"/>
            <w:rFonts w:ascii="Times New Roman" w:hAnsi="Times New Roman"/>
            <w:kern w:val="0"/>
            <w:sz w:val="20"/>
            <w:szCs w:val="20"/>
          </w:rPr>
          <w:t>azty.nour@is.uad.ac.id</w:t>
        </w:r>
      </w:hyperlink>
      <w:r>
        <w:rPr>
          <w:rFonts w:ascii="Times New Roman" w:hAnsi="Times New Roman"/>
          <w:kern w:val="0"/>
          <w:sz w:val="20"/>
          <w:szCs w:val="20"/>
        </w:rPr>
        <w:t xml:space="preserve"> </w:t>
      </w:r>
    </w:p>
    <w:p w14:paraId="3DB6AAE1" w14:textId="77777777" w:rsidR="00F04201" w:rsidRPr="00F04201" w:rsidRDefault="00F04201" w:rsidP="00F04201">
      <w:pPr>
        <w:autoSpaceDE w:val="0"/>
        <w:autoSpaceDN w:val="0"/>
        <w:adjustRightInd w:val="0"/>
        <w:spacing w:line="0" w:lineRule="atLeast"/>
        <w:jc w:val="center"/>
        <w:rPr>
          <w:rFonts w:ascii="Times New Roman" w:hAnsi="Times New Roman"/>
          <w:kern w:val="0"/>
          <w:sz w:val="24"/>
        </w:rPr>
      </w:pPr>
    </w:p>
    <w:p w14:paraId="4FE7EE2F" w14:textId="77777777" w:rsidR="006E37BC" w:rsidRPr="00A26505" w:rsidRDefault="006E37BC" w:rsidP="006E37BC">
      <w:pPr>
        <w:autoSpaceDE w:val="0"/>
        <w:autoSpaceDN w:val="0"/>
        <w:adjustRightInd w:val="0"/>
        <w:jc w:val="center"/>
        <w:rPr>
          <w:rFonts w:ascii="Times New Roman" w:hAnsi="Times New Roman"/>
          <w:kern w:val="0"/>
          <w:sz w:val="20"/>
          <w:szCs w:val="20"/>
          <w:lang w:val="id-ID"/>
        </w:rPr>
      </w:pPr>
      <w:r w:rsidRPr="00FC7214">
        <w:rPr>
          <w:rFonts w:ascii="Times New Roman" w:eastAsia="SimSun" w:hAnsi="Times New Roman" w:hint="eastAsia"/>
          <w:kern w:val="0"/>
          <w:sz w:val="20"/>
          <w:szCs w:val="20"/>
          <w:lang w:eastAsia="zh-CN"/>
        </w:rPr>
        <w:t xml:space="preserve">*Corresponding author: </w:t>
      </w:r>
      <w:hyperlink r:id="rId8" w:history="1">
        <w:r w:rsidRPr="00D26CFD">
          <w:rPr>
            <w:rStyle w:val="Hyperlink"/>
            <w:rFonts w:ascii="Times New Roman" w:hAnsi="Times New Roman"/>
            <w:kern w:val="0"/>
            <w:sz w:val="20"/>
            <w:szCs w:val="20"/>
            <w:lang w:val="id-ID"/>
          </w:rPr>
          <w:t>agustinus.wijaya@uksw.edu</w:t>
        </w:r>
      </w:hyperlink>
      <w:r>
        <w:rPr>
          <w:rFonts w:ascii="Times New Roman" w:hAnsi="Times New Roman"/>
          <w:kern w:val="0"/>
          <w:sz w:val="20"/>
          <w:szCs w:val="20"/>
          <w:lang w:val="id-ID"/>
        </w:rPr>
        <w:t xml:space="preserve"> </w:t>
      </w:r>
    </w:p>
    <w:p w14:paraId="7008C98E" w14:textId="77777777" w:rsidR="006E5982" w:rsidRPr="00CB42CD" w:rsidRDefault="006E5982" w:rsidP="006E5982">
      <w:pPr>
        <w:autoSpaceDE w:val="0"/>
        <w:autoSpaceDN w:val="0"/>
        <w:adjustRightInd w:val="0"/>
        <w:ind w:left="839" w:rightChars="351" w:right="737"/>
        <w:jc w:val="center"/>
        <w:rPr>
          <w:rFonts w:ascii="Times New Roman" w:hAnsi="Times New Roman"/>
          <w:b/>
          <w:bCs/>
          <w:smallCaps/>
          <w:sz w:val="24"/>
        </w:rPr>
      </w:pPr>
    </w:p>
    <w:p w14:paraId="1C294333" w14:textId="77777777" w:rsidR="006E5982" w:rsidRPr="006E5982" w:rsidRDefault="00C47240" w:rsidP="006E5982">
      <w:pPr>
        <w:autoSpaceDE w:val="0"/>
        <w:autoSpaceDN w:val="0"/>
        <w:adjustRightInd w:val="0"/>
        <w:ind w:left="839" w:rightChars="351" w:right="737"/>
        <w:jc w:val="center"/>
        <w:rPr>
          <w:rFonts w:ascii="Times New Roman" w:hAnsi="Times New Roman"/>
          <w:b/>
          <w:bCs/>
          <w:kern w:val="0"/>
          <w:sz w:val="20"/>
          <w:szCs w:val="20"/>
        </w:rPr>
      </w:pPr>
      <w:r w:rsidRPr="006E5982">
        <w:rPr>
          <w:rFonts w:ascii="Times New Roman" w:hAnsi="Times New Roman" w:hint="eastAsia"/>
          <w:b/>
          <w:bCs/>
          <w:smallCaps/>
          <w:sz w:val="20"/>
          <w:szCs w:val="20"/>
        </w:rPr>
        <w:t>Abstract</w:t>
      </w:r>
    </w:p>
    <w:p w14:paraId="7603C3AE" w14:textId="77777777" w:rsidR="00C47240" w:rsidRDefault="00A26505" w:rsidP="00A26505">
      <w:pPr>
        <w:autoSpaceDE w:val="0"/>
        <w:autoSpaceDN w:val="0"/>
        <w:adjustRightInd w:val="0"/>
        <w:ind w:left="839" w:rightChars="351" w:right="737"/>
        <w:rPr>
          <w:rFonts w:ascii="Times New Roman" w:hAnsi="Times New Roman"/>
          <w:i/>
          <w:sz w:val="20"/>
          <w:szCs w:val="20"/>
          <w:lang w:val="id-ID"/>
        </w:rPr>
      </w:pPr>
      <w:r w:rsidRPr="00A26505">
        <w:rPr>
          <w:rFonts w:ascii="Times New Roman" w:hAnsi="Times New Roman"/>
          <w:i/>
          <w:sz w:val="20"/>
          <w:szCs w:val="20"/>
        </w:rPr>
        <w:t>Government Resources Management System is a digital application information system that is integrated with each other, the design of the Government Resources Management System (GRMS) governance is carried out with the aim of maximizing the importance of implementing IT, it requires an appropriate understanding of how the information system works, what technology is used and also the information system developed,  management and manufacture of IT systems requires a guide that regulates how to use IT in the organization. In this case the party related to the design of the GRMS is the Office of Communication and Information (DISKOMINFO) which is an agency that carries out government duties in the field of communication and also Information Technology, one of the main goals of which is to create a Smart City. In this governance design using the COBIT 2019 framework with the identification of 11 governance design design factors obtained with the help of the COBIT 2019 design toolkit. The results obtained at DISKOMINFO Salatiga resulted in 9 relevant and accurate processes with the criteria of the assessment carried out. Based on these results, recommendations can be made in the form of designing a Government Resources Management System (GRMS) to create a Smart City</w:t>
      </w:r>
      <w:r>
        <w:rPr>
          <w:rFonts w:ascii="Times New Roman" w:hAnsi="Times New Roman"/>
          <w:i/>
          <w:sz w:val="20"/>
          <w:szCs w:val="20"/>
          <w:lang w:val="id-ID"/>
        </w:rPr>
        <w:t>.</w:t>
      </w:r>
    </w:p>
    <w:p w14:paraId="0976E758" w14:textId="77777777" w:rsidR="006E5982" w:rsidRPr="00A26505" w:rsidRDefault="006E5982" w:rsidP="00A26505">
      <w:pPr>
        <w:autoSpaceDE w:val="0"/>
        <w:autoSpaceDN w:val="0"/>
        <w:adjustRightInd w:val="0"/>
        <w:ind w:left="839" w:rightChars="351" w:right="737"/>
        <w:rPr>
          <w:rFonts w:ascii="Times New Roman" w:hAnsi="Times New Roman"/>
          <w:kern w:val="0"/>
          <w:sz w:val="20"/>
          <w:szCs w:val="20"/>
          <w:lang w:val="id-ID"/>
        </w:rPr>
      </w:pPr>
    </w:p>
    <w:p w14:paraId="3195DB7C" w14:textId="77777777" w:rsidR="00C47240" w:rsidRDefault="00C47240" w:rsidP="001C4E5C">
      <w:pPr>
        <w:autoSpaceDE w:val="0"/>
        <w:autoSpaceDN w:val="0"/>
        <w:adjustRightInd w:val="0"/>
        <w:ind w:left="839" w:rightChars="351" w:right="737"/>
        <w:rPr>
          <w:rFonts w:ascii="Times New Roman" w:hAnsi="Times New Roman"/>
          <w:i/>
          <w:iCs/>
          <w:kern w:val="0"/>
          <w:sz w:val="20"/>
          <w:szCs w:val="20"/>
        </w:rPr>
      </w:pPr>
      <w:r>
        <w:rPr>
          <w:rFonts w:ascii="Times New Roman" w:hAnsi="Times New Roman"/>
          <w:b/>
          <w:bCs/>
          <w:kern w:val="0"/>
          <w:sz w:val="20"/>
          <w:szCs w:val="20"/>
        </w:rPr>
        <w:t xml:space="preserve">Keywords: </w:t>
      </w:r>
      <w:r w:rsidR="00A26505" w:rsidRPr="00AD22AD">
        <w:rPr>
          <w:rFonts w:ascii="Times New Roman" w:hAnsi="Times New Roman"/>
          <w:sz w:val="20"/>
          <w:szCs w:val="20"/>
        </w:rPr>
        <w:t>Government Resouces Management System, Information Technology Governance, COBIT 2019 Framework, Design Factors, Smart City</w:t>
      </w:r>
      <w:r w:rsidR="00A26505">
        <w:rPr>
          <w:rFonts w:ascii="Times New Roman" w:hAnsi="Times New Roman"/>
          <w:sz w:val="20"/>
          <w:szCs w:val="20"/>
          <w:lang w:val="id-ID"/>
        </w:rPr>
        <w:t>.</w:t>
      </w:r>
      <w:r>
        <w:rPr>
          <w:rFonts w:ascii="Times New Roman" w:hAnsi="Times New Roman" w:hint="eastAsia"/>
          <w:kern w:val="0"/>
          <w:sz w:val="20"/>
          <w:szCs w:val="20"/>
        </w:rPr>
        <w:t xml:space="preserve">   </w:t>
      </w:r>
    </w:p>
    <w:p w14:paraId="5D11E695" w14:textId="77777777" w:rsidR="00C47240" w:rsidRPr="00CB42CD" w:rsidRDefault="00C47240">
      <w:pPr>
        <w:autoSpaceDE w:val="0"/>
        <w:autoSpaceDN w:val="0"/>
        <w:adjustRightInd w:val="0"/>
        <w:spacing w:line="300" w:lineRule="atLeast"/>
        <w:jc w:val="center"/>
        <w:rPr>
          <w:rFonts w:ascii="Times New Roman" w:hAnsi="Times New Roman"/>
          <w:kern w:val="0"/>
          <w:sz w:val="24"/>
        </w:rPr>
      </w:pPr>
    </w:p>
    <w:p w14:paraId="12C7C75C" w14:textId="4B67860A" w:rsidR="00A26505" w:rsidRPr="003E4FFB" w:rsidRDefault="003E4FFB" w:rsidP="003E4FFB">
      <w:pPr>
        <w:autoSpaceDE w:val="0"/>
        <w:autoSpaceDN w:val="0"/>
        <w:adjustRightInd w:val="0"/>
        <w:rPr>
          <w:rFonts w:ascii="Times New Roman" w:hAnsi="Times New Roman"/>
          <w:sz w:val="24"/>
        </w:rPr>
      </w:pPr>
      <w:r w:rsidRPr="003E4FFB">
        <w:rPr>
          <w:rFonts w:ascii="Times New Roman" w:hAnsi="Times New Roman"/>
          <w:sz w:val="24"/>
        </w:rPr>
        <w:t>1.</w:t>
      </w:r>
      <w:r w:rsidR="00C47240" w:rsidRPr="003E4FFB">
        <w:rPr>
          <w:rFonts w:ascii="Times New Roman" w:hAnsi="Times New Roman"/>
          <w:b/>
          <w:bCs/>
          <w:sz w:val="24"/>
        </w:rPr>
        <w:t xml:space="preserve">Introduction. </w:t>
      </w:r>
      <w:r w:rsidR="00A26505" w:rsidRPr="003E4FFB">
        <w:rPr>
          <w:rFonts w:ascii="Times New Roman" w:hAnsi="Times New Roman"/>
          <w:sz w:val="24"/>
        </w:rPr>
        <w:t>The rapid development of the digital era affects the rapid development of the digital era affects the way of human life. Almost all aspects of human life are influenced by the development of increasingly modern technology. The development of digital technology affects the governance, economic, educational, cultural and political aspects of a country. This development encourages the transformation of human activities towards digitalization.</w:t>
      </w:r>
      <w:r w:rsidR="00175A7B" w:rsidRPr="003E4FFB">
        <w:rPr>
          <w:rFonts w:ascii="Times New Roman" w:hAnsi="Times New Roman"/>
          <w:sz w:val="24"/>
        </w:rPr>
        <w:t xml:space="preserve"> </w:t>
      </w:r>
      <w:r w:rsidR="00A26505" w:rsidRPr="003E4FFB">
        <w:rPr>
          <w:rFonts w:ascii="Times New Roman" w:hAnsi="Times New Roman"/>
          <w:sz w:val="24"/>
        </w:rPr>
        <w:t>The use of information technology by central and local governments requires specialized management, reliable resources, significant costs, and a high risk of failure if IT itself is disrupted. When it comes to IT in a governance environment, good governance is necessary to get the most out of it. IT governance is done to ensure that IT implementation truly supports the objectives and focuses on improving efficiency and appropriate resources</w:t>
      </w:r>
      <w:r w:rsidR="00A26505" w:rsidRPr="003E4FFB">
        <w:rPr>
          <w:rFonts w:ascii="Times New Roman" w:hAnsi="Times New Roman"/>
          <w:sz w:val="24"/>
          <w:lang w:val="id-ID"/>
        </w:rPr>
        <w:t xml:space="preserve"> </w:t>
      </w:r>
      <w:r w:rsidR="00A26505" w:rsidRPr="003E4FFB">
        <w:rPr>
          <w:rFonts w:ascii="Times New Roman" w:hAnsi="Times New Roman"/>
          <w:sz w:val="24"/>
        </w:rPr>
        <w:t>[1]</w:t>
      </w:r>
      <w:r w:rsidR="00014544" w:rsidRPr="003E4FFB">
        <w:rPr>
          <w:rFonts w:ascii="Times New Roman" w:hAnsi="Times New Roman"/>
          <w:sz w:val="24"/>
          <w:lang w:val="id-ID"/>
        </w:rPr>
        <w:t xml:space="preserve"> </w:t>
      </w:r>
      <w:r w:rsidR="00A26505" w:rsidRPr="003E4FFB">
        <w:rPr>
          <w:rFonts w:ascii="Times New Roman" w:hAnsi="Times New Roman"/>
          <w:sz w:val="24"/>
        </w:rPr>
        <w:t xml:space="preserve">[2]. </w:t>
      </w:r>
    </w:p>
    <w:p w14:paraId="3B220859" w14:textId="77777777" w:rsidR="00CB42CD" w:rsidRPr="00AE7CC7" w:rsidRDefault="00CB42CD" w:rsidP="003E4FFB">
      <w:pPr>
        <w:pStyle w:val="NoSpacing"/>
        <w:ind w:left="720"/>
        <w:jc w:val="both"/>
        <w:rPr>
          <w:rFonts w:ascii="Times New Roman" w:hAnsi="Times New Roman"/>
          <w:sz w:val="24"/>
          <w:szCs w:val="24"/>
        </w:rPr>
      </w:pPr>
    </w:p>
    <w:p w14:paraId="1537D71C" w14:textId="77777777" w:rsidR="00C47240" w:rsidRPr="00AE7CC7" w:rsidRDefault="00A26505" w:rsidP="00175A7B">
      <w:pPr>
        <w:pStyle w:val="NoSpacing"/>
        <w:ind w:firstLine="284"/>
        <w:jc w:val="both"/>
        <w:rPr>
          <w:rFonts w:ascii="Times New Roman" w:hAnsi="Times New Roman"/>
          <w:sz w:val="24"/>
          <w:szCs w:val="24"/>
          <w:lang w:val="id-ID"/>
        </w:rPr>
      </w:pPr>
      <w:r w:rsidRPr="00AE7CC7">
        <w:rPr>
          <w:rFonts w:ascii="Times New Roman" w:hAnsi="Times New Roman"/>
          <w:sz w:val="24"/>
          <w:szCs w:val="24"/>
        </w:rPr>
        <w:lastRenderedPageBreak/>
        <w:t>Innovative organizations often face great challenges, but innovate to improve the quality and dignity of public services. Integrated digital application system, often abbreviated as Government Resource Management System or GRM</w:t>
      </w:r>
      <w:r w:rsidRPr="00AE7CC7">
        <w:rPr>
          <w:rFonts w:ascii="Times New Roman" w:hAnsi="Times New Roman"/>
          <w:sz w:val="24"/>
          <w:szCs w:val="24"/>
          <w:lang w:val="id-ID"/>
        </w:rPr>
        <w:t xml:space="preserve">S </w:t>
      </w:r>
      <w:r w:rsidRPr="00AE7CC7">
        <w:rPr>
          <w:rFonts w:ascii="Times New Roman" w:hAnsi="Times New Roman"/>
          <w:sz w:val="24"/>
          <w:szCs w:val="24"/>
        </w:rPr>
        <w:t>[</w:t>
      </w:r>
      <w:r w:rsidR="00014544" w:rsidRPr="00AE7CC7">
        <w:rPr>
          <w:rFonts w:ascii="Times New Roman" w:hAnsi="Times New Roman"/>
          <w:sz w:val="24"/>
          <w:szCs w:val="24"/>
          <w:lang w:val="id-ID"/>
        </w:rPr>
        <w:t>3-4</w:t>
      </w:r>
      <w:r w:rsidRPr="00AE7CC7">
        <w:rPr>
          <w:rFonts w:ascii="Times New Roman" w:hAnsi="Times New Roman"/>
          <w:sz w:val="24"/>
          <w:szCs w:val="24"/>
        </w:rPr>
        <w:t>]. In this case, Salatiga continues to develop various innovations, bureaucratic reforms, and improving the quality of human resources to become a smart city</w:t>
      </w:r>
      <w:r w:rsidRPr="00AE7CC7">
        <w:rPr>
          <w:rFonts w:ascii="Times New Roman" w:hAnsi="Times New Roman"/>
          <w:sz w:val="24"/>
          <w:szCs w:val="24"/>
          <w:lang w:val="id-ID"/>
        </w:rPr>
        <w:t xml:space="preserve"> </w:t>
      </w:r>
      <w:r w:rsidRPr="00AE7CC7">
        <w:rPr>
          <w:rFonts w:ascii="Times New Roman" w:hAnsi="Times New Roman"/>
          <w:sz w:val="24"/>
          <w:szCs w:val="24"/>
        </w:rPr>
        <w:t>[5].</w:t>
      </w:r>
      <w:r w:rsidR="00175A7B">
        <w:rPr>
          <w:rFonts w:ascii="Times New Roman" w:hAnsi="Times New Roman"/>
          <w:sz w:val="24"/>
          <w:szCs w:val="24"/>
        </w:rPr>
        <w:t xml:space="preserve"> </w:t>
      </w:r>
      <w:r w:rsidRPr="00AE7CC7">
        <w:rPr>
          <w:rFonts w:ascii="Times New Roman" w:hAnsi="Times New Roman"/>
          <w:sz w:val="24"/>
          <w:szCs w:val="24"/>
        </w:rPr>
        <w:t>The obstacles faced by Salatiga Government Office related to the duties and functions of regional devices are that there are still many public services that have not utilized information technology and the uneven capabilities and infrastructure of information and communication technology of the community. In order to maximize the implementation of good technology governance, Salatiga Government Office needs a framework that can be used as an appropriate standardization. COBIT 2019 is the most complete governance framework for reference in making governance and information technology management</w:t>
      </w:r>
      <w:r w:rsidR="00014544" w:rsidRPr="00AE7CC7">
        <w:rPr>
          <w:rFonts w:ascii="Times New Roman" w:hAnsi="Times New Roman"/>
          <w:sz w:val="24"/>
          <w:szCs w:val="24"/>
          <w:lang w:val="id-ID"/>
        </w:rPr>
        <w:t xml:space="preserve"> </w:t>
      </w:r>
      <w:r w:rsidRPr="00AE7CC7">
        <w:rPr>
          <w:rFonts w:ascii="Times New Roman" w:hAnsi="Times New Roman"/>
          <w:sz w:val="24"/>
          <w:szCs w:val="24"/>
        </w:rPr>
        <w:t>[</w:t>
      </w:r>
      <w:r w:rsidR="00014544" w:rsidRPr="00AE7CC7">
        <w:rPr>
          <w:rFonts w:ascii="Times New Roman" w:hAnsi="Times New Roman"/>
          <w:sz w:val="24"/>
          <w:szCs w:val="24"/>
          <w:lang w:val="id-ID"/>
        </w:rPr>
        <w:t>6-8</w:t>
      </w:r>
      <w:r w:rsidRPr="00AE7CC7">
        <w:rPr>
          <w:rFonts w:ascii="Times New Roman" w:hAnsi="Times New Roman"/>
          <w:sz w:val="24"/>
          <w:szCs w:val="24"/>
        </w:rPr>
        <w:t>], because there are already modules that are represented when we want to design information technology governance both within the scope of government and companies</w:t>
      </w:r>
      <w:r w:rsidRPr="00AE7CC7">
        <w:rPr>
          <w:rFonts w:ascii="Times New Roman" w:hAnsi="Times New Roman"/>
          <w:sz w:val="24"/>
          <w:szCs w:val="24"/>
          <w:lang w:val="id-ID"/>
        </w:rPr>
        <w:t xml:space="preserve"> </w:t>
      </w:r>
      <w:r w:rsidRPr="00AE7CC7">
        <w:rPr>
          <w:rFonts w:ascii="Times New Roman" w:hAnsi="Times New Roman"/>
          <w:sz w:val="24"/>
          <w:szCs w:val="24"/>
        </w:rPr>
        <w:t>[</w:t>
      </w:r>
      <w:r w:rsidR="00014544" w:rsidRPr="00AE7CC7">
        <w:rPr>
          <w:rFonts w:ascii="Times New Roman" w:hAnsi="Times New Roman"/>
          <w:sz w:val="24"/>
          <w:szCs w:val="24"/>
          <w:lang w:val="id-ID"/>
        </w:rPr>
        <w:t>9-12</w:t>
      </w:r>
      <w:r w:rsidRPr="00AE7CC7">
        <w:rPr>
          <w:rFonts w:ascii="Times New Roman" w:hAnsi="Times New Roman"/>
          <w:sz w:val="24"/>
          <w:szCs w:val="24"/>
        </w:rPr>
        <w:t>].</w:t>
      </w:r>
    </w:p>
    <w:p w14:paraId="1A4419FA" w14:textId="77777777" w:rsidR="00A26505" w:rsidRPr="00A26505" w:rsidRDefault="00A26505" w:rsidP="00A26505">
      <w:pPr>
        <w:autoSpaceDE w:val="0"/>
        <w:autoSpaceDN w:val="0"/>
        <w:adjustRightInd w:val="0"/>
        <w:jc w:val="left"/>
        <w:rPr>
          <w:rFonts w:ascii="Times New Roman" w:hAnsi="Times New Roman"/>
          <w:kern w:val="0"/>
          <w:sz w:val="24"/>
          <w:lang w:val="id-ID"/>
        </w:rPr>
      </w:pPr>
    </w:p>
    <w:p w14:paraId="41A54644" w14:textId="77777777" w:rsidR="00C47240" w:rsidRDefault="00C47240" w:rsidP="0034671D">
      <w:pPr>
        <w:autoSpaceDE w:val="0"/>
        <w:autoSpaceDN w:val="0"/>
        <w:adjustRightInd w:val="0"/>
        <w:rPr>
          <w:rFonts w:ascii="Times New Roman" w:hAnsi="Times New Roman"/>
          <w:kern w:val="0"/>
          <w:sz w:val="24"/>
        </w:rPr>
      </w:pPr>
      <w:r>
        <w:rPr>
          <w:rFonts w:ascii="Times New Roman" w:hAnsi="Times New Roman"/>
          <w:kern w:val="0"/>
          <w:sz w:val="24"/>
        </w:rPr>
        <w:t xml:space="preserve">2. </w:t>
      </w:r>
      <w:r w:rsidR="00E1467C">
        <w:rPr>
          <w:rFonts w:ascii="Times New Roman" w:hAnsi="Times New Roman"/>
          <w:b/>
          <w:bCs/>
          <w:kern w:val="0"/>
          <w:sz w:val="24"/>
          <w:lang w:val="id-ID"/>
        </w:rPr>
        <w:t>Literature Review</w:t>
      </w:r>
      <w:r>
        <w:rPr>
          <w:rFonts w:ascii="Times New Roman" w:hAnsi="Times New Roman"/>
          <w:b/>
          <w:bCs/>
          <w:kern w:val="0"/>
          <w:sz w:val="24"/>
        </w:rPr>
        <w:t xml:space="preserve">. </w:t>
      </w:r>
      <w:r w:rsidR="00E1467C" w:rsidRPr="00E1467C">
        <w:rPr>
          <w:rFonts w:ascii="Times New Roman" w:hAnsi="Times New Roman"/>
          <w:kern w:val="0"/>
          <w:sz w:val="24"/>
        </w:rPr>
        <w:t>Government resource management systems (GRMS) are essential tools for public organizations to manage their resources effectively and efficiently. In this literature review, we will explore some of the key research on GRMS, including their benefits, challenges, and best practices</w:t>
      </w:r>
      <w:r w:rsidR="00E1467C">
        <w:rPr>
          <w:rFonts w:ascii="Times New Roman" w:hAnsi="Times New Roman"/>
          <w:kern w:val="0"/>
          <w:sz w:val="24"/>
          <w:lang w:val="id-ID"/>
        </w:rPr>
        <w:t xml:space="preserve"> [13]</w:t>
      </w:r>
      <w:r w:rsidR="00E1467C" w:rsidRPr="00E1467C">
        <w:rPr>
          <w:rFonts w:ascii="Times New Roman" w:hAnsi="Times New Roman"/>
          <w:kern w:val="0"/>
          <w:sz w:val="24"/>
        </w:rPr>
        <w:t>.</w:t>
      </w:r>
      <w:r w:rsidR="0034671D">
        <w:rPr>
          <w:rFonts w:ascii="Times New Roman" w:hAnsi="Times New Roman"/>
          <w:kern w:val="0"/>
          <w:sz w:val="24"/>
          <w:lang w:val="id-ID"/>
        </w:rPr>
        <w:t xml:space="preserve"> </w:t>
      </w:r>
      <w:r w:rsidR="0034671D" w:rsidRPr="0034671D">
        <w:rPr>
          <w:rFonts w:ascii="Times New Roman" w:hAnsi="Times New Roman"/>
          <w:kern w:val="0"/>
          <w:sz w:val="24"/>
          <w:lang w:val="id-ID"/>
        </w:rPr>
        <w:t>COBIT</w:t>
      </w:r>
      <w:r w:rsidR="00175A7B">
        <w:rPr>
          <w:rFonts w:ascii="Times New Roman" w:hAnsi="Times New Roman"/>
          <w:kern w:val="0"/>
          <w:sz w:val="24"/>
        </w:rPr>
        <w:t xml:space="preserve"> 2019</w:t>
      </w:r>
      <w:r w:rsidR="0034671D" w:rsidRPr="0034671D">
        <w:rPr>
          <w:rFonts w:ascii="Times New Roman" w:hAnsi="Times New Roman"/>
          <w:kern w:val="0"/>
          <w:sz w:val="24"/>
          <w:lang w:val="id-ID"/>
        </w:rPr>
        <w:t xml:space="preserve"> provides a comprehensive set of guidelines and best practices to help organizations effectively manage their IT-related risks and optimize the use of technology to achieve their business goals.</w:t>
      </w:r>
      <w:r w:rsidR="0034671D">
        <w:rPr>
          <w:rFonts w:ascii="Times New Roman" w:hAnsi="Times New Roman"/>
          <w:kern w:val="0"/>
          <w:sz w:val="24"/>
          <w:lang w:val="id-ID"/>
        </w:rPr>
        <w:t xml:space="preserve"> </w:t>
      </w:r>
      <w:r w:rsidR="0034671D" w:rsidRPr="0034671D">
        <w:rPr>
          <w:rFonts w:ascii="Times New Roman" w:hAnsi="Times New Roman"/>
          <w:kern w:val="0"/>
          <w:sz w:val="24"/>
          <w:lang w:val="id-ID"/>
        </w:rPr>
        <w:t>COBIT 2019 framework can be a valuable tool for designing effective IT governance in smart cities. By following its guidelines and best practices, cities can ensure that their IT systems are secure, reliable, and aligned with their goals and objectives, ultimately delivering real value to citizens</w:t>
      </w:r>
      <w:r w:rsidR="0034671D">
        <w:rPr>
          <w:rFonts w:ascii="Times New Roman" w:hAnsi="Times New Roman"/>
          <w:kern w:val="0"/>
          <w:sz w:val="24"/>
          <w:lang w:val="id-ID"/>
        </w:rPr>
        <w:t>. [14]</w:t>
      </w:r>
      <w:r>
        <w:rPr>
          <w:rFonts w:ascii="Times New Roman" w:hAnsi="Times New Roman"/>
          <w:kern w:val="0"/>
          <w:sz w:val="24"/>
        </w:rPr>
        <w:t>.</w:t>
      </w:r>
    </w:p>
    <w:p w14:paraId="7C856C40" w14:textId="77777777" w:rsidR="00C47240" w:rsidRDefault="00C47240" w:rsidP="00B66B76">
      <w:pPr>
        <w:autoSpaceDE w:val="0"/>
        <w:autoSpaceDN w:val="0"/>
        <w:adjustRightInd w:val="0"/>
        <w:jc w:val="left"/>
        <w:rPr>
          <w:rFonts w:ascii="Times New Roman" w:hAnsi="Times New Roman"/>
          <w:kern w:val="0"/>
          <w:sz w:val="24"/>
        </w:rPr>
      </w:pPr>
    </w:p>
    <w:p w14:paraId="2596D361" w14:textId="77777777" w:rsidR="0034671D" w:rsidRPr="0034671D" w:rsidRDefault="00C47240" w:rsidP="0034671D">
      <w:pPr>
        <w:pStyle w:val="NoSpacing"/>
        <w:jc w:val="both"/>
        <w:rPr>
          <w:rFonts w:ascii="Times New Roman" w:hAnsi="Times New Roman"/>
          <w:sz w:val="24"/>
          <w:szCs w:val="24"/>
        </w:rPr>
      </w:pPr>
      <w:r>
        <w:rPr>
          <w:rFonts w:ascii="Times New Roman" w:hAnsi="Times New Roman"/>
          <w:sz w:val="24"/>
        </w:rPr>
        <w:t xml:space="preserve">3. </w:t>
      </w:r>
      <w:r w:rsidR="0034671D">
        <w:rPr>
          <w:rFonts w:ascii="Times New Roman" w:hAnsi="Times New Roman"/>
          <w:b/>
          <w:bCs/>
          <w:sz w:val="24"/>
          <w:lang w:val="id-ID"/>
        </w:rPr>
        <w:t>Research Methodology</w:t>
      </w:r>
      <w:r>
        <w:rPr>
          <w:rFonts w:ascii="Times New Roman" w:hAnsi="Times New Roman"/>
          <w:b/>
          <w:bCs/>
          <w:sz w:val="24"/>
        </w:rPr>
        <w:t>.</w:t>
      </w:r>
      <w:r w:rsidRPr="0034671D">
        <w:rPr>
          <w:rFonts w:ascii="Times New Roman" w:hAnsi="Times New Roman"/>
          <w:b/>
          <w:bCs/>
          <w:sz w:val="24"/>
          <w:szCs w:val="24"/>
        </w:rPr>
        <w:t xml:space="preserve"> </w:t>
      </w:r>
      <w:r w:rsidR="0034671D" w:rsidRPr="0034671D">
        <w:rPr>
          <w:rFonts w:ascii="Times New Roman" w:hAnsi="Times New Roman"/>
          <w:sz w:val="24"/>
          <w:szCs w:val="24"/>
        </w:rPr>
        <w:t>Governance Resources Management System (GRMS) will focus on designing governance as a standard, guide and also a tool in the city government's efforts towards good governance [1</w:t>
      </w:r>
      <w:r w:rsidR="0034671D">
        <w:rPr>
          <w:rFonts w:ascii="Times New Roman" w:hAnsi="Times New Roman"/>
          <w:sz w:val="24"/>
          <w:szCs w:val="24"/>
          <w:lang w:val="id-ID"/>
        </w:rPr>
        <w:t>5</w:t>
      </w:r>
      <w:r w:rsidR="0034671D" w:rsidRPr="0034671D">
        <w:rPr>
          <w:rFonts w:ascii="Times New Roman" w:hAnsi="Times New Roman"/>
          <w:sz w:val="24"/>
          <w:szCs w:val="24"/>
        </w:rPr>
        <w:t>] which in the end can realize a smart city. Referring to it then the approach that will be used in this study is a qualitative approach. Where research is carried out to obtain an overview of the e-Government system that has been run, is being developed or that has not been implemented properly.</w:t>
      </w:r>
    </w:p>
    <w:p w14:paraId="2637FAF2" w14:textId="77777777" w:rsidR="0034671D" w:rsidRPr="0034671D" w:rsidRDefault="0034671D" w:rsidP="0034671D">
      <w:pPr>
        <w:pStyle w:val="NoSpacing"/>
        <w:jc w:val="both"/>
        <w:rPr>
          <w:rFonts w:ascii="Times New Roman" w:hAnsi="Times New Roman"/>
          <w:b/>
          <w:bCs/>
          <w:sz w:val="24"/>
          <w:szCs w:val="24"/>
        </w:rPr>
      </w:pPr>
      <w:r w:rsidRPr="0034671D">
        <w:rPr>
          <w:rFonts w:ascii="Times New Roman" w:hAnsi="Times New Roman"/>
          <w:bCs/>
          <w:sz w:val="24"/>
          <w:szCs w:val="24"/>
          <w:lang w:val="id-ID"/>
        </w:rPr>
        <w:t>3</w:t>
      </w:r>
      <w:r w:rsidRPr="0034671D">
        <w:rPr>
          <w:rFonts w:ascii="Times New Roman" w:hAnsi="Times New Roman"/>
          <w:bCs/>
          <w:sz w:val="24"/>
          <w:szCs w:val="24"/>
        </w:rPr>
        <w:t>.1</w:t>
      </w:r>
      <w:r>
        <w:rPr>
          <w:rFonts w:ascii="Times New Roman" w:hAnsi="Times New Roman"/>
          <w:bCs/>
          <w:sz w:val="24"/>
          <w:szCs w:val="24"/>
          <w:lang w:val="id-ID"/>
        </w:rPr>
        <w:t>.</w:t>
      </w:r>
      <w:r w:rsidRPr="0034671D">
        <w:rPr>
          <w:rFonts w:ascii="Times New Roman" w:hAnsi="Times New Roman"/>
          <w:b/>
          <w:bCs/>
          <w:sz w:val="24"/>
          <w:szCs w:val="24"/>
        </w:rPr>
        <w:t xml:space="preserve"> Planning</w:t>
      </w:r>
    </w:p>
    <w:p w14:paraId="4CA2CD10" w14:textId="77777777" w:rsidR="0034671D" w:rsidRPr="0034671D" w:rsidRDefault="0034671D" w:rsidP="0034671D">
      <w:pPr>
        <w:autoSpaceDE w:val="0"/>
        <w:autoSpaceDN w:val="0"/>
        <w:adjustRightInd w:val="0"/>
        <w:ind w:firstLine="284"/>
        <w:rPr>
          <w:rFonts w:ascii="Times New Roman" w:hAnsi="Times New Roman"/>
          <w:sz w:val="24"/>
        </w:rPr>
      </w:pPr>
      <w:r w:rsidRPr="0034671D">
        <w:rPr>
          <w:rFonts w:ascii="Times New Roman" w:hAnsi="Times New Roman"/>
          <w:sz w:val="24"/>
        </w:rPr>
        <w:t>At this stage of research and planning, we will identify problems first regarding what information technology is currently used, especially in the e-Government sector, in identifying related problems, information about technologies that are currently running or that have not been implemented properly is needed, therefore with a qualitative approach method, an interview with the relevant and competent sector is needed.</w:t>
      </w:r>
    </w:p>
    <w:p w14:paraId="1CA1ACAA" w14:textId="77777777" w:rsidR="0034671D" w:rsidRPr="0034671D" w:rsidRDefault="0034671D" w:rsidP="0034671D">
      <w:pPr>
        <w:pStyle w:val="NoSpacing"/>
        <w:jc w:val="both"/>
        <w:rPr>
          <w:rFonts w:ascii="Times New Roman" w:hAnsi="Times New Roman"/>
          <w:b/>
          <w:bCs/>
          <w:sz w:val="24"/>
          <w:szCs w:val="24"/>
        </w:rPr>
      </w:pPr>
      <w:r w:rsidRPr="0034671D">
        <w:rPr>
          <w:rFonts w:ascii="Times New Roman" w:hAnsi="Times New Roman"/>
          <w:bCs/>
          <w:sz w:val="24"/>
          <w:szCs w:val="24"/>
          <w:lang w:val="id-ID"/>
        </w:rPr>
        <w:t>3</w:t>
      </w:r>
      <w:r w:rsidRPr="0034671D">
        <w:rPr>
          <w:rFonts w:ascii="Times New Roman" w:hAnsi="Times New Roman"/>
          <w:bCs/>
          <w:sz w:val="24"/>
          <w:szCs w:val="24"/>
        </w:rPr>
        <w:t>.2</w:t>
      </w:r>
      <w:r>
        <w:rPr>
          <w:rFonts w:ascii="Times New Roman" w:hAnsi="Times New Roman"/>
          <w:bCs/>
          <w:sz w:val="24"/>
          <w:szCs w:val="24"/>
          <w:lang w:val="id-ID"/>
        </w:rPr>
        <w:t>.</w:t>
      </w:r>
      <w:r w:rsidRPr="0034671D">
        <w:rPr>
          <w:rFonts w:ascii="Times New Roman" w:hAnsi="Times New Roman"/>
          <w:b/>
          <w:bCs/>
          <w:sz w:val="24"/>
          <w:szCs w:val="24"/>
        </w:rPr>
        <w:t xml:space="preserve"> Data Collection</w:t>
      </w:r>
    </w:p>
    <w:p w14:paraId="0169C509" w14:textId="77777777" w:rsidR="0034671D" w:rsidRPr="0034671D" w:rsidRDefault="0034671D" w:rsidP="0034671D">
      <w:pPr>
        <w:autoSpaceDE w:val="0"/>
        <w:autoSpaceDN w:val="0"/>
        <w:adjustRightInd w:val="0"/>
        <w:ind w:firstLine="284"/>
        <w:rPr>
          <w:rFonts w:ascii="Times New Roman" w:hAnsi="Times New Roman"/>
          <w:sz w:val="24"/>
        </w:rPr>
      </w:pPr>
      <w:r w:rsidRPr="0034671D">
        <w:rPr>
          <w:rFonts w:ascii="Times New Roman" w:hAnsi="Times New Roman"/>
          <w:sz w:val="24"/>
        </w:rPr>
        <w:t>The next stage is data collection where at this stage after making a list of questions, an interview will be conducted with the sector concerned, after conducting a series of interviews, the results of the interview are documented and a narrative is formed so that it is easy to analyze the interview data.</w:t>
      </w:r>
    </w:p>
    <w:p w14:paraId="51B8A47D" w14:textId="77777777" w:rsidR="0034671D" w:rsidRPr="0034671D" w:rsidRDefault="0034671D" w:rsidP="0034671D">
      <w:pPr>
        <w:pStyle w:val="NoSpacing"/>
        <w:jc w:val="both"/>
        <w:rPr>
          <w:rFonts w:ascii="Times New Roman" w:hAnsi="Times New Roman"/>
          <w:b/>
          <w:bCs/>
          <w:sz w:val="24"/>
          <w:szCs w:val="24"/>
        </w:rPr>
      </w:pPr>
      <w:r w:rsidRPr="0034671D">
        <w:rPr>
          <w:rFonts w:ascii="Times New Roman" w:hAnsi="Times New Roman"/>
          <w:bCs/>
          <w:sz w:val="24"/>
          <w:szCs w:val="24"/>
          <w:lang w:val="id-ID"/>
        </w:rPr>
        <w:t>3</w:t>
      </w:r>
      <w:r w:rsidRPr="0034671D">
        <w:rPr>
          <w:rFonts w:ascii="Times New Roman" w:hAnsi="Times New Roman"/>
          <w:bCs/>
          <w:sz w:val="24"/>
          <w:szCs w:val="24"/>
        </w:rPr>
        <w:t>.3</w:t>
      </w:r>
      <w:r>
        <w:rPr>
          <w:rFonts w:ascii="Times New Roman" w:hAnsi="Times New Roman"/>
          <w:bCs/>
          <w:sz w:val="24"/>
          <w:szCs w:val="24"/>
          <w:lang w:val="id-ID"/>
        </w:rPr>
        <w:t>.</w:t>
      </w:r>
      <w:r w:rsidRPr="0034671D">
        <w:rPr>
          <w:rFonts w:ascii="Times New Roman" w:hAnsi="Times New Roman"/>
          <w:b/>
          <w:bCs/>
          <w:sz w:val="24"/>
          <w:szCs w:val="24"/>
        </w:rPr>
        <w:t xml:space="preserve"> Governance Design</w:t>
      </w:r>
    </w:p>
    <w:p w14:paraId="338B2E6C" w14:textId="5ACFC1C0" w:rsidR="00C47240" w:rsidRDefault="0034671D" w:rsidP="0034671D">
      <w:pPr>
        <w:autoSpaceDE w:val="0"/>
        <w:autoSpaceDN w:val="0"/>
        <w:adjustRightInd w:val="0"/>
        <w:ind w:firstLine="284"/>
        <w:rPr>
          <w:rFonts w:ascii="Times New Roman" w:hAnsi="Times New Roman"/>
          <w:sz w:val="24"/>
        </w:rPr>
      </w:pPr>
      <w:r w:rsidRPr="0034671D">
        <w:rPr>
          <w:rFonts w:ascii="Times New Roman" w:hAnsi="Times New Roman"/>
          <w:sz w:val="24"/>
        </w:rPr>
        <w:t xml:space="preserve">The first governance design phase understands the organizational situation and strategy acquired in the previous phase, and builds on the COBIT Design Factor Standard 2019 to understand the organization's strategy, goals, and emerging issues related to information technology. </w:t>
      </w:r>
    </w:p>
    <w:p w14:paraId="6F48C9EC" w14:textId="77777777" w:rsidR="00CB42CD" w:rsidRPr="0034671D" w:rsidRDefault="00CB42CD" w:rsidP="0034671D">
      <w:pPr>
        <w:autoSpaceDE w:val="0"/>
        <w:autoSpaceDN w:val="0"/>
        <w:adjustRightInd w:val="0"/>
        <w:ind w:firstLine="284"/>
        <w:rPr>
          <w:rFonts w:ascii="Times New Roman" w:hAnsi="Times New Roman"/>
          <w:sz w:val="24"/>
          <w:lang w:val="id-ID"/>
        </w:rPr>
      </w:pPr>
    </w:p>
    <w:p w14:paraId="7D80B075" w14:textId="235BEB46" w:rsidR="0034671D" w:rsidRDefault="00C47240" w:rsidP="0034671D">
      <w:pPr>
        <w:pStyle w:val="TAMainText"/>
        <w:spacing w:line="240" w:lineRule="auto"/>
        <w:ind w:firstLine="0"/>
        <w:rPr>
          <w:rFonts w:ascii="Times New Roman" w:hAnsi="Times New Roman"/>
          <w:b/>
          <w:bCs/>
          <w:sz w:val="24"/>
          <w:lang w:val="id-ID"/>
        </w:rPr>
      </w:pPr>
      <w:r w:rsidRPr="0034671D">
        <w:rPr>
          <w:rFonts w:ascii="Times New Roman" w:hAnsi="Times New Roman"/>
          <w:sz w:val="24"/>
        </w:rPr>
        <w:lastRenderedPageBreak/>
        <w:t>4.</w:t>
      </w:r>
      <w:r>
        <w:rPr>
          <w:rFonts w:ascii="Times New Roman" w:hAnsi="Times New Roman"/>
          <w:sz w:val="24"/>
        </w:rPr>
        <w:t xml:space="preserve"> </w:t>
      </w:r>
      <w:r w:rsidR="0034671D">
        <w:rPr>
          <w:rFonts w:ascii="Times New Roman" w:hAnsi="Times New Roman"/>
          <w:b/>
          <w:bCs/>
          <w:sz w:val="24"/>
          <w:lang w:val="id-ID"/>
        </w:rPr>
        <w:t>Result and Discussion</w:t>
      </w:r>
    </w:p>
    <w:p w14:paraId="4CFE86CB" w14:textId="77777777" w:rsidR="0034671D" w:rsidRPr="0034671D" w:rsidRDefault="00AE7CC7" w:rsidP="0034671D">
      <w:pPr>
        <w:pStyle w:val="TAMainText"/>
        <w:spacing w:line="240" w:lineRule="auto"/>
        <w:ind w:firstLine="0"/>
        <w:rPr>
          <w:rFonts w:ascii="Times New Roman" w:hAnsi="Times New Roman"/>
          <w:b/>
          <w:bCs/>
          <w:sz w:val="24"/>
          <w:szCs w:val="24"/>
          <w:lang w:val="en-GB"/>
        </w:rPr>
      </w:pPr>
      <w:r>
        <w:rPr>
          <w:rFonts w:ascii="Times New Roman" w:hAnsi="Times New Roman"/>
          <w:bCs/>
          <w:sz w:val="24"/>
          <w:szCs w:val="24"/>
        </w:rPr>
        <w:t>4.1</w:t>
      </w:r>
      <w:r w:rsidR="0034671D">
        <w:rPr>
          <w:rFonts w:ascii="Times New Roman" w:hAnsi="Times New Roman"/>
          <w:bCs/>
          <w:sz w:val="24"/>
          <w:szCs w:val="24"/>
          <w:lang w:val="id-ID"/>
        </w:rPr>
        <w:t>.</w:t>
      </w:r>
      <w:r w:rsidR="0034671D" w:rsidRPr="0034671D">
        <w:rPr>
          <w:rFonts w:ascii="Times New Roman" w:hAnsi="Times New Roman"/>
          <w:b/>
          <w:bCs/>
          <w:sz w:val="24"/>
          <w:szCs w:val="24"/>
          <w:lang w:val="en"/>
        </w:rPr>
        <w:t xml:space="preserve"> Establishing the Initial Scope of Governance</w:t>
      </w:r>
    </w:p>
    <w:p w14:paraId="5B85F130"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The identification results based on interviews, observations and also supporting documents are implemented into the COBIT 2019 factor design toolkit as follows:</w:t>
      </w:r>
      <w:r w:rsidR="00175A7B">
        <w:rPr>
          <w:rFonts w:ascii="Times New Roman" w:hAnsi="Times New Roman"/>
          <w:sz w:val="24"/>
          <w:lang w:val="en"/>
        </w:rPr>
        <w:t xml:space="preserve"> i</w:t>
      </w:r>
      <w:r w:rsidRPr="0034671D">
        <w:rPr>
          <w:rFonts w:ascii="Times New Roman" w:hAnsi="Times New Roman"/>
          <w:sz w:val="24"/>
          <w:lang w:val="en"/>
        </w:rPr>
        <w:t>n design factor 1, this represents the strategy of an organization or company, each organization certainly has differences in the basic modeling of its strategy. Organizational strategy consists of 4 types, namely growth / acquisition, innovation / differentiation, cost-leadership and client service/stability. The results of the identification of design factor 1 in DISKOMINFO Salatiga can be seen in Fig. 1.</w:t>
      </w:r>
    </w:p>
    <w:p w14:paraId="3C82974E" w14:textId="77777777" w:rsidR="0034671D" w:rsidRPr="0034671D" w:rsidRDefault="0034671D" w:rsidP="0034671D">
      <w:pPr>
        <w:pStyle w:val="TAMainText"/>
        <w:spacing w:line="240" w:lineRule="auto"/>
        <w:rPr>
          <w:rFonts w:ascii="Times New Roman" w:hAnsi="Times New Roman"/>
          <w:sz w:val="24"/>
          <w:szCs w:val="24"/>
          <w:lang w:val="en-GB"/>
        </w:rPr>
      </w:pPr>
    </w:p>
    <w:p w14:paraId="78F34F25"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6544AA56" wp14:editId="3BFE9544">
            <wp:extent cx="2819400" cy="2101850"/>
            <wp:effectExtent l="0" t="0" r="0" b="12700"/>
            <wp:docPr id="1"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30270B" w14:textId="77777777" w:rsidR="0034671D" w:rsidRDefault="0034671D" w:rsidP="0034671D">
      <w:pPr>
        <w:pStyle w:val="TAMainText"/>
        <w:ind w:firstLine="0"/>
        <w:jc w:val="center"/>
        <w:rPr>
          <w:rFonts w:ascii="Times New Roman" w:hAnsi="Times New Roman"/>
          <w:smallCaps/>
          <w:sz w:val="24"/>
          <w:szCs w:val="24"/>
          <w:lang w:val="id-ID"/>
        </w:rPr>
      </w:pPr>
    </w:p>
    <w:p w14:paraId="37569A5A" w14:textId="77777777" w:rsidR="0034671D" w:rsidRPr="0034671D" w:rsidRDefault="0034671D" w:rsidP="0034671D">
      <w:pPr>
        <w:pStyle w:val="TAMainText"/>
        <w:ind w:firstLine="0"/>
        <w:jc w:val="center"/>
        <w:rPr>
          <w:rFonts w:ascii="Times New Roman" w:hAnsi="Times New Roman"/>
          <w:sz w:val="24"/>
          <w:szCs w:val="24"/>
          <w:lang w:val="en-GB"/>
        </w:rPr>
      </w:pPr>
      <w:r w:rsidRPr="0034671D">
        <w:rPr>
          <w:rFonts w:ascii="Times New Roman" w:hAnsi="Times New Roman"/>
          <w:smallCaps/>
          <w:sz w:val="24"/>
          <w:szCs w:val="24"/>
          <w:lang w:val="en"/>
        </w:rPr>
        <w:t>Figure 1.</w:t>
      </w:r>
      <w:r w:rsidRPr="0034671D">
        <w:rPr>
          <w:rFonts w:ascii="Times New Roman" w:hAnsi="Times New Roman"/>
          <w:sz w:val="24"/>
          <w:szCs w:val="24"/>
          <w:lang w:val="en"/>
        </w:rPr>
        <w:t xml:space="preserve"> Enterprise strategy design factors</w:t>
      </w:r>
    </w:p>
    <w:p w14:paraId="106C41DE" w14:textId="77777777" w:rsidR="0034671D" w:rsidRPr="0034671D" w:rsidRDefault="0034671D" w:rsidP="0034671D">
      <w:pPr>
        <w:pStyle w:val="TAMainText"/>
        <w:spacing w:line="240" w:lineRule="auto"/>
        <w:rPr>
          <w:rFonts w:ascii="Times New Roman" w:hAnsi="Times New Roman"/>
          <w:sz w:val="24"/>
          <w:szCs w:val="24"/>
          <w:lang w:val="en"/>
        </w:rPr>
      </w:pPr>
    </w:p>
    <w:p w14:paraId="2427ACF4"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Based on Fig. 1 above, the focus of interest of DISKOMINFO Salatiga for organizational strategy is on client services/stability points which are worth 5, the assessment is based on the objectives and main focus of DISKOMINFO Salatiga which is stated in its vision and mission, namely "Improving the quality of public services and realizing good governance". In addition, growth is worth 3 because DISKOMINFO Salatiga will continue to develop both in governance and public services. Innovation is also included in the Salatiga DISKOMINFO strategy but in this case it does not make the main focus because basically the innovations made depend on the needs of the public. The value of cost leadership has point 1 because basically DISKOMINFO is a government service institution that operates according to agencies and facilities from the center regardless of how much costs are incurred.</w:t>
      </w:r>
    </w:p>
    <w:p w14:paraId="2122D52C"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In design factor 2, the strategy of an organization is used to achieve a set of goals. This goal can be described in the COBIT 2019 framework on the design of factor 2 Enterprise Goals, the identification results are as follows.</w:t>
      </w:r>
    </w:p>
    <w:p w14:paraId="5058CC3B" w14:textId="77777777" w:rsidR="0034671D" w:rsidRPr="0034671D" w:rsidRDefault="0034671D" w:rsidP="0034671D">
      <w:pPr>
        <w:pStyle w:val="TAMainText"/>
        <w:spacing w:line="240" w:lineRule="auto"/>
        <w:rPr>
          <w:rFonts w:ascii="Times New Roman" w:hAnsi="Times New Roman"/>
          <w:sz w:val="24"/>
          <w:szCs w:val="24"/>
          <w:lang w:val="en-GB"/>
        </w:rPr>
      </w:pPr>
    </w:p>
    <w:p w14:paraId="799FC5B4"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lastRenderedPageBreak/>
        <w:drawing>
          <wp:inline distT="0" distB="0" distL="0" distR="0" wp14:anchorId="51FCA21E" wp14:editId="46BC7603">
            <wp:extent cx="4791075" cy="3054350"/>
            <wp:effectExtent l="0" t="0" r="9525" b="12700"/>
            <wp:docPr id="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70752B" w14:textId="77777777" w:rsidR="0034671D" w:rsidRPr="0034671D" w:rsidRDefault="0034671D" w:rsidP="0034671D">
      <w:pPr>
        <w:pStyle w:val="TAMainText"/>
        <w:ind w:firstLine="0"/>
        <w:jc w:val="center"/>
        <w:rPr>
          <w:rFonts w:ascii="Times New Roman" w:hAnsi="Times New Roman"/>
          <w:sz w:val="24"/>
          <w:szCs w:val="24"/>
          <w:lang w:val="en-ID"/>
        </w:rPr>
      </w:pPr>
      <w:r w:rsidRPr="0034671D">
        <w:rPr>
          <w:rFonts w:ascii="Times New Roman" w:hAnsi="Times New Roman"/>
          <w:smallCaps/>
          <w:sz w:val="24"/>
          <w:szCs w:val="24"/>
          <w:lang w:val="en"/>
        </w:rPr>
        <w:t>Figure 2.</w:t>
      </w:r>
      <w:r w:rsidRPr="0034671D">
        <w:rPr>
          <w:rFonts w:ascii="Times New Roman" w:hAnsi="Times New Roman"/>
          <w:sz w:val="24"/>
          <w:szCs w:val="24"/>
          <w:lang w:val="en"/>
        </w:rPr>
        <w:t xml:space="preserve"> Enterprise goals design factors</w:t>
      </w:r>
    </w:p>
    <w:p w14:paraId="524B9FF4" w14:textId="77777777" w:rsidR="0034671D" w:rsidRPr="0034671D" w:rsidRDefault="0034671D" w:rsidP="0034671D">
      <w:pPr>
        <w:pStyle w:val="TAMainText"/>
        <w:spacing w:line="240" w:lineRule="auto"/>
        <w:rPr>
          <w:rFonts w:ascii="Times New Roman" w:hAnsi="Times New Roman"/>
          <w:sz w:val="24"/>
          <w:szCs w:val="24"/>
          <w:lang w:val="en"/>
        </w:rPr>
      </w:pPr>
    </w:p>
    <w:p w14:paraId="3A44295C"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Based on Fig. 2, it can be seen that the main focus of DISKOMINFO Salatiga is the customer-oriented services dimension contained in EG05-EG07 with point 4. Furthermore, in the dimension of compliance with the law contained in EG03, it also gets point 4 because as a government institution the duties and work under the orders of the central institute.</w:t>
      </w:r>
    </w:p>
    <w:p w14:paraId="63F38BEE" w14:textId="77777777" w:rsidR="00175A7B" w:rsidRPr="0034671D" w:rsidRDefault="0034671D" w:rsidP="00175A7B">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In design factor 3 is the identification of risks contained in an organization, the risk profile is a current issue related to IT that is currently being faced and indicates the most at-risk areas. There are 11 risk categories that must be considered, along with the results of the identification of risk profiles at DISKOMINFO Salatiga.</w:t>
      </w:r>
      <w:r w:rsidR="00175A7B">
        <w:rPr>
          <w:rFonts w:ascii="Times New Roman" w:hAnsi="Times New Roman"/>
          <w:sz w:val="24"/>
          <w:lang w:val="en"/>
        </w:rPr>
        <w:t xml:space="preserve"> </w:t>
      </w:r>
      <w:r w:rsidR="00175A7B" w:rsidRPr="0034671D">
        <w:rPr>
          <w:rFonts w:ascii="Times New Roman" w:hAnsi="Times New Roman"/>
          <w:sz w:val="24"/>
          <w:lang w:val="en"/>
        </w:rPr>
        <w:t>Based on Fig. 3, the highest value is 25 which has a big influence if the risk occurs, the Logical attacks and Data &amp; information management categories are assets that must be maintained and managed properly by DISKOMINFO because if there is hacking or data leakage will be very fatal as a result, population data, especially if it has entered the scope of the big data will be fatal to the government as well as the people. Furthermore, the technology-based innovation category also needs to be planned carefully, lest the existence of technology will actually complicate and complicate DISKOMINFO Salatiga in order to achieve the vision and mission and towards a smart city.</w:t>
      </w:r>
    </w:p>
    <w:p w14:paraId="114C1DAE" w14:textId="77777777" w:rsidR="0034671D" w:rsidRPr="0034671D" w:rsidRDefault="0034671D" w:rsidP="0034671D">
      <w:pPr>
        <w:autoSpaceDE w:val="0"/>
        <w:autoSpaceDN w:val="0"/>
        <w:adjustRightInd w:val="0"/>
        <w:ind w:firstLine="284"/>
        <w:rPr>
          <w:rFonts w:ascii="Times New Roman" w:hAnsi="Times New Roman"/>
          <w:sz w:val="24"/>
          <w:lang w:val="en"/>
        </w:rPr>
      </w:pPr>
    </w:p>
    <w:p w14:paraId="301B4520" w14:textId="77777777" w:rsidR="0034671D" w:rsidRPr="0034671D" w:rsidRDefault="0034671D" w:rsidP="0034671D">
      <w:pPr>
        <w:pStyle w:val="TAMainText"/>
        <w:spacing w:line="240" w:lineRule="auto"/>
        <w:rPr>
          <w:rFonts w:ascii="Times New Roman" w:hAnsi="Times New Roman"/>
          <w:sz w:val="24"/>
          <w:szCs w:val="24"/>
          <w:lang w:val="en-GB"/>
        </w:rPr>
      </w:pPr>
    </w:p>
    <w:p w14:paraId="213796D9"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lastRenderedPageBreak/>
        <w:drawing>
          <wp:inline distT="0" distB="0" distL="0" distR="0" wp14:anchorId="43E8B4ED" wp14:editId="52CBFDEF">
            <wp:extent cx="2876550" cy="3397885"/>
            <wp:effectExtent l="0" t="0" r="0" b="12065"/>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A2BB7A" w14:textId="77777777" w:rsidR="0034671D" w:rsidRPr="0034671D" w:rsidRDefault="0034671D" w:rsidP="0034671D">
      <w:pPr>
        <w:pStyle w:val="TAMainText"/>
        <w:ind w:firstLine="0"/>
        <w:jc w:val="center"/>
        <w:rPr>
          <w:rFonts w:ascii="Times New Roman" w:hAnsi="Times New Roman"/>
          <w:sz w:val="24"/>
          <w:szCs w:val="24"/>
          <w:lang w:val="en-ID"/>
        </w:rPr>
      </w:pPr>
      <w:r w:rsidRPr="0034671D">
        <w:rPr>
          <w:rFonts w:ascii="Times New Roman" w:hAnsi="Times New Roman"/>
          <w:smallCaps/>
          <w:sz w:val="24"/>
          <w:szCs w:val="24"/>
          <w:lang w:val="en"/>
        </w:rPr>
        <w:t>Figure 3.</w:t>
      </w:r>
      <w:r w:rsidRPr="0034671D">
        <w:rPr>
          <w:rFonts w:ascii="Times New Roman" w:hAnsi="Times New Roman"/>
          <w:sz w:val="24"/>
          <w:szCs w:val="24"/>
          <w:lang w:val="en"/>
        </w:rPr>
        <w:t xml:space="preserve"> Risk profile design factors</w:t>
      </w:r>
    </w:p>
    <w:p w14:paraId="39FF1D73" w14:textId="77777777" w:rsidR="00175A7B" w:rsidRDefault="00175A7B" w:rsidP="0034671D">
      <w:pPr>
        <w:pStyle w:val="TAMainText"/>
        <w:spacing w:line="240" w:lineRule="auto"/>
        <w:rPr>
          <w:rFonts w:ascii="Times New Roman" w:hAnsi="Times New Roman"/>
          <w:sz w:val="24"/>
          <w:lang w:val="en"/>
        </w:rPr>
      </w:pPr>
    </w:p>
    <w:p w14:paraId="0B198E6F" w14:textId="77777777" w:rsidR="0034671D" w:rsidRDefault="00175A7B" w:rsidP="0034671D">
      <w:pPr>
        <w:pStyle w:val="TAMainText"/>
        <w:spacing w:line="240" w:lineRule="auto"/>
        <w:rPr>
          <w:rFonts w:ascii="Times New Roman" w:hAnsi="Times New Roman"/>
          <w:sz w:val="24"/>
          <w:lang w:val="en"/>
        </w:rPr>
      </w:pPr>
      <w:r w:rsidRPr="0034671D">
        <w:rPr>
          <w:rFonts w:ascii="Times New Roman" w:hAnsi="Times New Roman"/>
          <w:sz w:val="24"/>
          <w:lang w:val="en"/>
        </w:rPr>
        <w:t>Design factor 4 identifies a review of the problems currently faced by DISKOMINFO Salatiga, in this stage it is an assessment of the organization's IT by considering the IT-related issues or problems currently experienced.</w:t>
      </w:r>
    </w:p>
    <w:p w14:paraId="6E7A0101" w14:textId="77777777" w:rsidR="00175A7B" w:rsidRPr="0034671D" w:rsidRDefault="00175A7B" w:rsidP="0034671D">
      <w:pPr>
        <w:pStyle w:val="TAMainText"/>
        <w:spacing w:line="240" w:lineRule="auto"/>
        <w:rPr>
          <w:rFonts w:ascii="Times New Roman" w:hAnsi="Times New Roman"/>
          <w:sz w:val="24"/>
          <w:szCs w:val="24"/>
          <w:lang w:val="en"/>
        </w:rPr>
      </w:pPr>
    </w:p>
    <w:p w14:paraId="5985648B"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16D8E6F4" wp14:editId="67BE1BFF">
            <wp:extent cx="3248025" cy="3827145"/>
            <wp:effectExtent l="0" t="0" r="9525" b="1905"/>
            <wp:docPr id="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6F18F6" w14:textId="77777777" w:rsidR="0034671D" w:rsidRPr="0034671D" w:rsidRDefault="0034671D" w:rsidP="0034671D">
      <w:pPr>
        <w:pStyle w:val="TAMainText"/>
        <w:ind w:firstLine="0"/>
        <w:jc w:val="center"/>
        <w:rPr>
          <w:rFonts w:ascii="Times New Roman" w:hAnsi="Times New Roman"/>
          <w:sz w:val="24"/>
          <w:szCs w:val="24"/>
          <w:lang w:val="en-GB"/>
        </w:rPr>
      </w:pPr>
      <w:r w:rsidRPr="0034671D">
        <w:rPr>
          <w:rFonts w:ascii="Times New Roman" w:hAnsi="Times New Roman"/>
          <w:smallCaps/>
          <w:sz w:val="24"/>
          <w:szCs w:val="24"/>
          <w:lang w:val="en"/>
        </w:rPr>
        <w:t xml:space="preserve">Figure 4. </w:t>
      </w:r>
      <w:r w:rsidRPr="0034671D">
        <w:rPr>
          <w:rFonts w:ascii="Times New Roman" w:hAnsi="Times New Roman"/>
          <w:sz w:val="24"/>
          <w:szCs w:val="24"/>
          <w:lang w:val="en"/>
        </w:rPr>
        <w:t>I&amp;T related issues design factors</w:t>
      </w:r>
    </w:p>
    <w:p w14:paraId="5A1D87DB" w14:textId="77777777" w:rsidR="00175A7B" w:rsidRPr="0034671D" w:rsidRDefault="00175A7B" w:rsidP="00175A7B">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lastRenderedPageBreak/>
        <w:t>The following is the result of the identification of IT assessments that are currently occurring.</w:t>
      </w:r>
      <w:r>
        <w:rPr>
          <w:rFonts w:ascii="Times New Roman" w:hAnsi="Times New Roman"/>
          <w:sz w:val="24"/>
          <w:lang w:val="en"/>
        </w:rPr>
        <w:t xml:space="preserve"> </w:t>
      </w:r>
      <w:r w:rsidRPr="0034671D">
        <w:rPr>
          <w:rFonts w:ascii="Times New Roman" w:hAnsi="Times New Roman"/>
          <w:sz w:val="24"/>
          <w:lang w:val="en"/>
        </w:rPr>
        <w:t>Based on Fig. 4, the most common issues experienced by DISKOMINFO are IT-related issues, including the lack of optimal implementation of pre-planned innovations, as well as the lack of ability from staff to be able to maximize technology to make innovations that can facilitate and assist in the management of government and also public services. In terms of data management, DISKOMINFO is also not optimal, especially in terms of managing big data and along with the security system.</w:t>
      </w:r>
    </w:p>
    <w:p w14:paraId="39F1CB61" w14:textId="77777777" w:rsidR="00175A7B" w:rsidRPr="0034671D" w:rsidRDefault="00175A7B" w:rsidP="0034671D">
      <w:pPr>
        <w:pStyle w:val="TAMainText"/>
        <w:spacing w:line="240" w:lineRule="auto"/>
        <w:rPr>
          <w:rFonts w:ascii="Times New Roman" w:hAnsi="Times New Roman"/>
          <w:sz w:val="24"/>
          <w:szCs w:val="24"/>
          <w:lang w:val="en"/>
        </w:rPr>
      </w:pPr>
    </w:p>
    <w:p w14:paraId="0C141485" w14:textId="77777777" w:rsidR="0034671D" w:rsidRPr="0034671D" w:rsidRDefault="0034671D" w:rsidP="0034671D">
      <w:pPr>
        <w:pStyle w:val="TAMainText"/>
        <w:spacing w:line="240" w:lineRule="auto"/>
        <w:ind w:firstLine="0"/>
        <w:rPr>
          <w:rFonts w:ascii="Times New Roman" w:hAnsi="Times New Roman"/>
          <w:b/>
          <w:bCs/>
          <w:sz w:val="24"/>
          <w:szCs w:val="24"/>
          <w:lang w:val="en-GB"/>
        </w:rPr>
      </w:pPr>
      <w:r w:rsidRPr="0034671D">
        <w:rPr>
          <w:rFonts w:ascii="Times New Roman" w:hAnsi="Times New Roman"/>
          <w:bCs/>
          <w:sz w:val="24"/>
          <w:szCs w:val="24"/>
          <w:lang w:val="id-ID"/>
        </w:rPr>
        <w:t>4</w:t>
      </w:r>
      <w:r w:rsidRPr="0034671D">
        <w:rPr>
          <w:rFonts w:ascii="Times New Roman" w:hAnsi="Times New Roman"/>
          <w:bCs/>
          <w:sz w:val="24"/>
          <w:szCs w:val="24"/>
          <w:lang w:val="en"/>
        </w:rPr>
        <w:t>.</w:t>
      </w:r>
      <w:r w:rsidR="00AE7CC7">
        <w:rPr>
          <w:rFonts w:ascii="Times New Roman" w:hAnsi="Times New Roman"/>
          <w:bCs/>
          <w:sz w:val="24"/>
          <w:szCs w:val="24"/>
          <w:lang w:val="en"/>
        </w:rPr>
        <w:t>2</w:t>
      </w:r>
      <w:r w:rsidRPr="0034671D">
        <w:rPr>
          <w:rFonts w:ascii="Times New Roman" w:hAnsi="Times New Roman"/>
          <w:bCs/>
          <w:sz w:val="24"/>
          <w:szCs w:val="24"/>
          <w:lang w:val="id-ID"/>
        </w:rPr>
        <w:t>.</w:t>
      </w:r>
      <w:r w:rsidRPr="0034671D">
        <w:rPr>
          <w:rFonts w:ascii="Times New Roman" w:hAnsi="Times New Roman"/>
          <w:b/>
          <w:bCs/>
          <w:sz w:val="24"/>
          <w:szCs w:val="24"/>
          <w:lang w:val="en"/>
        </w:rPr>
        <w:t xml:space="preserve"> Improving the Scope of the Governance System</w:t>
      </w:r>
    </w:p>
    <w:p w14:paraId="7963E258" w14:textId="77777777" w:rsid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The identification results based on interviews, observations and also supporting documents are implemented into the COBIT 2019 factor design toolkit as follows:</w:t>
      </w:r>
      <w:r w:rsidR="00175A7B">
        <w:rPr>
          <w:rFonts w:ascii="Times New Roman" w:hAnsi="Times New Roman"/>
          <w:sz w:val="24"/>
          <w:lang w:val="en"/>
        </w:rPr>
        <w:t xml:space="preserve"> </w:t>
      </w:r>
      <w:r w:rsidRPr="0034671D">
        <w:rPr>
          <w:rFonts w:ascii="Times New Roman" w:hAnsi="Times New Roman"/>
          <w:sz w:val="24"/>
          <w:lang w:val="en"/>
        </w:rPr>
        <w:t>Design factor 5 is a threat view that can be useful in identifying threats that can be at risk in the Salatiga DISKOMINFO operation. The identification results can be seen in Fig. 5.</w:t>
      </w:r>
    </w:p>
    <w:p w14:paraId="07EF345F" w14:textId="77777777" w:rsidR="00175A7B" w:rsidRPr="0034671D" w:rsidRDefault="00175A7B" w:rsidP="0034671D">
      <w:pPr>
        <w:autoSpaceDE w:val="0"/>
        <w:autoSpaceDN w:val="0"/>
        <w:adjustRightInd w:val="0"/>
        <w:ind w:firstLine="284"/>
        <w:rPr>
          <w:rFonts w:ascii="Times New Roman" w:hAnsi="Times New Roman"/>
          <w:sz w:val="24"/>
          <w:lang w:val="en-GB"/>
        </w:rPr>
      </w:pPr>
    </w:p>
    <w:p w14:paraId="7EB8D149"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79F865BF" wp14:editId="490094C7">
            <wp:extent cx="1701800" cy="1581785"/>
            <wp:effectExtent l="0" t="0" r="0" b="5715"/>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41E73E" w14:textId="77777777" w:rsidR="0034671D" w:rsidRPr="0034671D" w:rsidRDefault="0034671D" w:rsidP="0034671D">
      <w:pPr>
        <w:pStyle w:val="TAMainText"/>
        <w:ind w:firstLine="0"/>
        <w:jc w:val="center"/>
        <w:rPr>
          <w:rFonts w:ascii="Times New Roman" w:hAnsi="Times New Roman"/>
          <w:sz w:val="24"/>
          <w:szCs w:val="24"/>
          <w:lang w:val="en-ID"/>
        </w:rPr>
      </w:pPr>
      <w:r w:rsidRPr="0034671D">
        <w:rPr>
          <w:rFonts w:ascii="Times New Roman" w:hAnsi="Times New Roman"/>
          <w:smallCaps/>
          <w:sz w:val="24"/>
          <w:szCs w:val="24"/>
          <w:lang w:val="en"/>
        </w:rPr>
        <w:t>Figure 5.</w:t>
      </w:r>
      <w:r w:rsidRPr="0034671D">
        <w:rPr>
          <w:rFonts w:ascii="Times New Roman" w:hAnsi="Times New Roman"/>
          <w:sz w:val="24"/>
          <w:szCs w:val="24"/>
          <w:lang w:val="en"/>
        </w:rPr>
        <w:t xml:space="preserve"> Threat landscape</w:t>
      </w:r>
    </w:p>
    <w:p w14:paraId="6250E374" w14:textId="77777777" w:rsidR="0034671D" w:rsidRPr="0034671D" w:rsidRDefault="0034671D" w:rsidP="0034671D">
      <w:pPr>
        <w:pStyle w:val="TAMainText"/>
        <w:spacing w:line="240" w:lineRule="auto"/>
        <w:rPr>
          <w:rFonts w:ascii="Times New Roman" w:hAnsi="Times New Roman"/>
          <w:sz w:val="24"/>
          <w:szCs w:val="24"/>
          <w:lang w:val="en"/>
        </w:rPr>
      </w:pPr>
    </w:p>
    <w:p w14:paraId="5432C03E"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Based on Fig. 5, the percentage of normal threats to DISKOMINFO is 70% this is based on the results of the identification that has been carried out, namely in carrying out its duties and obligations DISKOMINFO Salatiga can still control operational threats which include disruption of internet connections, electrical problems and problematic devices. Furthermore, this 30% range is an external threat that can interfere with operations, one of which is system failure and data leakage.</w:t>
      </w:r>
    </w:p>
    <w:p w14:paraId="3A05E1F7"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The design factor 6 Compliance Requirements are the compliance requirements that underlie an organization in carrying out its obligations and duties. The identification results can be seen in Fig. 6 below.</w:t>
      </w:r>
    </w:p>
    <w:p w14:paraId="0EBA9999" w14:textId="77777777" w:rsidR="0034671D" w:rsidRPr="0034671D" w:rsidRDefault="0034671D" w:rsidP="0034671D">
      <w:pPr>
        <w:pStyle w:val="TAMainText"/>
        <w:spacing w:line="240" w:lineRule="auto"/>
        <w:rPr>
          <w:rFonts w:ascii="Times New Roman" w:hAnsi="Times New Roman"/>
          <w:sz w:val="24"/>
          <w:szCs w:val="24"/>
          <w:lang w:val="en-GB"/>
        </w:rPr>
      </w:pPr>
    </w:p>
    <w:p w14:paraId="27A34665"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26B136D5" wp14:editId="2049D22D">
            <wp:extent cx="2221230" cy="1581785"/>
            <wp:effectExtent l="0" t="0" r="1270" b="5715"/>
            <wp:docPr id="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D052EE" w14:textId="77777777" w:rsidR="0034671D" w:rsidRPr="0034671D" w:rsidRDefault="0034671D" w:rsidP="0034671D">
      <w:pPr>
        <w:pStyle w:val="TAMainText"/>
        <w:ind w:firstLine="0"/>
        <w:jc w:val="center"/>
        <w:rPr>
          <w:rFonts w:ascii="Times New Roman" w:hAnsi="Times New Roman"/>
          <w:sz w:val="24"/>
          <w:szCs w:val="24"/>
          <w:lang w:val="en-ID"/>
        </w:rPr>
      </w:pPr>
      <w:r w:rsidRPr="0034671D">
        <w:rPr>
          <w:rFonts w:ascii="Times New Roman" w:hAnsi="Times New Roman"/>
          <w:smallCaps/>
          <w:sz w:val="24"/>
          <w:szCs w:val="24"/>
          <w:lang w:val="en"/>
        </w:rPr>
        <w:t>Figure 6.</w:t>
      </w:r>
      <w:r w:rsidRPr="0034671D">
        <w:rPr>
          <w:rFonts w:ascii="Times New Roman" w:hAnsi="Times New Roman"/>
          <w:sz w:val="24"/>
          <w:szCs w:val="24"/>
          <w:lang w:val="en"/>
        </w:rPr>
        <w:t xml:space="preserve"> Compliance requirements</w:t>
      </w:r>
    </w:p>
    <w:p w14:paraId="7C0A3DD0" w14:textId="77777777" w:rsidR="0034671D" w:rsidRPr="0034671D" w:rsidRDefault="0034671D" w:rsidP="0034671D">
      <w:pPr>
        <w:pStyle w:val="TAMainText"/>
        <w:spacing w:line="240" w:lineRule="auto"/>
        <w:rPr>
          <w:rFonts w:ascii="Times New Roman" w:hAnsi="Times New Roman"/>
          <w:sz w:val="24"/>
          <w:szCs w:val="24"/>
          <w:lang w:val="en"/>
        </w:rPr>
      </w:pPr>
    </w:p>
    <w:p w14:paraId="4B9B2F0A" w14:textId="77777777" w:rsidR="003E4FFB" w:rsidRDefault="003E4FFB" w:rsidP="0034671D">
      <w:pPr>
        <w:autoSpaceDE w:val="0"/>
        <w:autoSpaceDN w:val="0"/>
        <w:adjustRightInd w:val="0"/>
        <w:ind w:firstLine="284"/>
        <w:rPr>
          <w:rFonts w:ascii="Times New Roman" w:hAnsi="Times New Roman"/>
          <w:sz w:val="24"/>
          <w:lang w:val="en"/>
        </w:rPr>
      </w:pPr>
    </w:p>
    <w:p w14:paraId="1049ED4E" w14:textId="77777777" w:rsidR="003E4FFB" w:rsidRDefault="003E4FFB" w:rsidP="0034671D">
      <w:pPr>
        <w:autoSpaceDE w:val="0"/>
        <w:autoSpaceDN w:val="0"/>
        <w:adjustRightInd w:val="0"/>
        <w:ind w:firstLine="284"/>
        <w:rPr>
          <w:rFonts w:ascii="Times New Roman" w:hAnsi="Times New Roman"/>
          <w:sz w:val="24"/>
          <w:lang w:val="en"/>
        </w:rPr>
      </w:pPr>
    </w:p>
    <w:p w14:paraId="2FF24E19" w14:textId="1B686DD3"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lastRenderedPageBreak/>
        <w:t>Based on Fig. 6, the percentage of normal compliance requirements at DISKOMINFO Salatiga is 60% because in its operations it has met the general requirements of the public and the government system based on applicable government regulations. The high percentage of requirements is 40% because in managing data and other supporting resource, there needs to be strict mechanisms and legal licensing.</w:t>
      </w:r>
    </w:p>
    <w:p w14:paraId="7DAAE062"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Design factor 7 is the role of Information Technology for an organization. The identification results can be seen in Fig. 7 below.</w:t>
      </w:r>
    </w:p>
    <w:p w14:paraId="1F6EFE7F" w14:textId="77777777" w:rsidR="0034671D" w:rsidRPr="0034671D" w:rsidRDefault="0034671D" w:rsidP="0034671D">
      <w:pPr>
        <w:pStyle w:val="TAMainText"/>
        <w:spacing w:line="240" w:lineRule="auto"/>
        <w:rPr>
          <w:rFonts w:ascii="Times New Roman" w:hAnsi="Times New Roman"/>
          <w:sz w:val="24"/>
          <w:szCs w:val="24"/>
          <w:lang w:val="en-ID"/>
        </w:rPr>
      </w:pPr>
    </w:p>
    <w:p w14:paraId="00262163"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1EC096B8" wp14:editId="5D62C61E">
            <wp:extent cx="2181860" cy="1645285"/>
            <wp:effectExtent l="0" t="0" r="2540" b="5715"/>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DB7EDF" w14:textId="77777777" w:rsidR="0034671D" w:rsidRPr="0034671D" w:rsidRDefault="0034671D" w:rsidP="0034671D">
      <w:pPr>
        <w:pStyle w:val="TAMainText"/>
        <w:ind w:firstLine="0"/>
        <w:jc w:val="center"/>
        <w:rPr>
          <w:rFonts w:ascii="Times New Roman" w:hAnsi="Times New Roman"/>
          <w:sz w:val="24"/>
          <w:szCs w:val="24"/>
          <w:lang w:val="en-ID"/>
        </w:rPr>
      </w:pPr>
      <w:r w:rsidRPr="0034671D">
        <w:rPr>
          <w:rFonts w:ascii="Times New Roman" w:hAnsi="Times New Roman"/>
          <w:smallCaps/>
          <w:sz w:val="24"/>
          <w:szCs w:val="24"/>
          <w:lang w:val="en"/>
        </w:rPr>
        <w:t>Figure 7.</w:t>
      </w:r>
      <w:r w:rsidRPr="0034671D">
        <w:rPr>
          <w:rFonts w:ascii="Times New Roman" w:hAnsi="Times New Roman"/>
          <w:sz w:val="24"/>
          <w:szCs w:val="24"/>
          <w:lang w:val="en"/>
        </w:rPr>
        <w:t xml:space="preserve"> Role of IT</w:t>
      </w:r>
    </w:p>
    <w:p w14:paraId="6C9F1BC9" w14:textId="77777777" w:rsidR="0034671D" w:rsidRPr="0034671D" w:rsidRDefault="0034671D" w:rsidP="0034671D">
      <w:pPr>
        <w:pStyle w:val="TAMainText"/>
        <w:spacing w:line="240" w:lineRule="auto"/>
        <w:rPr>
          <w:rFonts w:ascii="Times New Roman" w:hAnsi="Times New Roman"/>
          <w:sz w:val="24"/>
          <w:szCs w:val="24"/>
          <w:lang w:val="en"/>
        </w:rPr>
      </w:pPr>
    </w:p>
    <w:p w14:paraId="2EF9D007"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Based on Fig. 7, the support and factory sectionget 4 assessment points because DISKOMINFO uses Information Technology in operating and carrying out its obligations and duties as a manager in the government system and also public services. Furthermore, strategic gets point 5 because the use of IT has a significant influence considering that DISKOMINFO is an institution that designs and implements IT into the digitalization era.</w:t>
      </w:r>
    </w:p>
    <w:p w14:paraId="40AE667F"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In design factor 8 is the procurement adopted by an organization. The identification results can be seen in Fig. 8 below.</w:t>
      </w:r>
    </w:p>
    <w:p w14:paraId="7D9EFAB0" w14:textId="77777777" w:rsidR="0034671D" w:rsidRPr="0034671D" w:rsidRDefault="0034671D" w:rsidP="0034671D">
      <w:pPr>
        <w:pStyle w:val="TAMainText"/>
        <w:spacing w:line="240" w:lineRule="auto"/>
        <w:rPr>
          <w:rFonts w:ascii="Times New Roman" w:hAnsi="Times New Roman"/>
          <w:sz w:val="24"/>
          <w:szCs w:val="24"/>
          <w:lang w:val="en-ID"/>
        </w:rPr>
      </w:pPr>
    </w:p>
    <w:p w14:paraId="570428FF"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31574C5C" wp14:editId="10A25AAB">
            <wp:extent cx="2066925" cy="1416685"/>
            <wp:effectExtent l="0" t="0" r="9525" b="12065"/>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A5B09A" w14:textId="77777777" w:rsidR="0034671D" w:rsidRPr="0034671D" w:rsidRDefault="0034671D" w:rsidP="0034671D">
      <w:pPr>
        <w:pStyle w:val="TAMainText"/>
        <w:ind w:firstLine="0"/>
        <w:jc w:val="center"/>
        <w:rPr>
          <w:rFonts w:ascii="Times New Roman" w:hAnsi="Times New Roman"/>
          <w:sz w:val="24"/>
          <w:szCs w:val="24"/>
          <w:lang w:val="en-ID"/>
        </w:rPr>
      </w:pPr>
      <w:r w:rsidRPr="0034671D">
        <w:rPr>
          <w:rFonts w:ascii="Times New Roman" w:hAnsi="Times New Roman"/>
          <w:smallCaps/>
          <w:sz w:val="24"/>
          <w:szCs w:val="24"/>
          <w:lang w:val="en"/>
        </w:rPr>
        <w:t>Figure 8.</w:t>
      </w:r>
      <w:r w:rsidRPr="0034671D">
        <w:rPr>
          <w:rFonts w:ascii="Times New Roman" w:hAnsi="Times New Roman"/>
          <w:sz w:val="24"/>
          <w:szCs w:val="24"/>
          <w:lang w:val="en"/>
        </w:rPr>
        <w:t xml:space="preserve"> IT sourcing model</w:t>
      </w:r>
    </w:p>
    <w:p w14:paraId="5074E859" w14:textId="77777777" w:rsidR="0034671D" w:rsidRPr="0034671D" w:rsidRDefault="0034671D" w:rsidP="0034671D">
      <w:pPr>
        <w:pStyle w:val="TAMainText"/>
        <w:rPr>
          <w:rFonts w:ascii="Times New Roman" w:hAnsi="Times New Roman"/>
          <w:sz w:val="24"/>
          <w:szCs w:val="24"/>
          <w:lang w:val="en"/>
        </w:rPr>
      </w:pPr>
    </w:p>
    <w:p w14:paraId="30028775" w14:textId="77777777"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 xml:space="preserve">The outsourcing percentage is worth 30% because some of DISKOMINFO Salatiga's IT services use third-party services to provide IT services, such as Internet services and Application development assistance. Also, cloud sharing is worth 30%. because DISKOMINFO stores data no longer in the form of files but in the form of cloud storage. </w:t>
      </w:r>
    </w:p>
    <w:p w14:paraId="430E859D" w14:textId="77777777" w:rsidR="003E4FFB" w:rsidRDefault="003E4FFB" w:rsidP="0034671D">
      <w:pPr>
        <w:autoSpaceDE w:val="0"/>
        <w:autoSpaceDN w:val="0"/>
        <w:adjustRightInd w:val="0"/>
        <w:ind w:firstLine="284"/>
        <w:rPr>
          <w:rFonts w:ascii="Times New Roman" w:hAnsi="Times New Roman"/>
          <w:sz w:val="24"/>
          <w:lang w:val="en"/>
        </w:rPr>
      </w:pPr>
    </w:p>
    <w:p w14:paraId="7725B114" w14:textId="77777777" w:rsidR="003E4FFB" w:rsidRDefault="003E4FFB" w:rsidP="0034671D">
      <w:pPr>
        <w:autoSpaceDE w:val="0"/>
        <w:autoSpaceDN w:val="0"/>
        <w:adjustRightInd w:val="0"/>
        <w:ind w:firstLine="284"/>
        <w:rPr>
          <w:rFonts w:ascii="Times New Roman" w:hAnsi="Times New Roman"/>
          <w:sz w:val="24"/>
          <w:lang w:val="en"/>
        </w:rPr>
      </w:pPr>
    </w:p>
    <w:p w14:paraId="3E2D336E" w14:textId="77777777" w:rsidR="003E4FFB" w:rsidRDefault="003E4FFB" w:rsidP="0034671D">
      <w:pPr>
        <w:autoSpaceDE w:val="0"/>
        <w:autoSpaceDN w:val="0"/>
        <w:adjustRightInd w:val="0"/>
        <w:ind w:firstLine="284"/>
        <w:rPr>
          <w:rFonts w:ascii="Times New Roman" w:hAnsi="Times New Roman"/>
          <w:sz w:val="24"/>
          <w:lang w:val="en"/>
        </w:rPr>
      </w:pPr>
    </w:p>
    <w:p w14:paraId="0A0053E5" w14:textId="77777777" w:rsidR="003E4FFB" w:rsidRDefault="003E4FFB" w:rsidP="0034671D">
      <w:pPr>
        <w:autoSpaceDE w:val="0"/>
        <w:autoSpaceDN w:val="0"/>
        <w:adjustRightInd w:val="0"/>
        <w:ind w:firstLine="284"/>
        <w:rPr>
          <w:rFonts w:ascii="Times New Roman" w:hAnsi="Times New Roman"/>
          <w:sz w:val="24"/>
          <w:lang w:val="en"/>
        </w:rPr>
      </w:pPr>
    </w:p>
    <w:p w14:paraId="789AA4F7" w14:textId="77777777" w:rsidR="003E4FFB" w:rsidRDefault="003E4FFB" w:rsidP="0034671D">
      <w:pPr>
        <w:autoSpaceDE w:val="0"/>
        <w:autoSpaceDN w:val="0"/>
        <w:adjustRightInd w:val="0"/>
        <w:ind w:firstLine="284"/>
        <w:rPr>
          <w:rFonts w:ascii="Times New Roman" w:hAnsi="Times New Roman"/>
          <w:sz w:val="24"/>
          <w:lang w:val="en"/>
        </w:rPr>
      </w:pPr>
    </w:p>
    <w:p w14:paraId="1FD6CE63" w14:textId="77777777" w:rsidR="003E4FFB" w:rsidRDefault="003E4FFB" w:rsidP="0034671D">
      <w:pPr>
        <w:autoSpaceDE w:val="0"/>
        <w:autoSpaceDN w:val="0"/>
        <w:adjustRightInd w:val="0"/>
        <w:ind w:firstLine="284"/>
        <w:rPr>
          <w:rFonts w:ascii="Times New Roman" w:hAnsi="Times New Roman"/>
          <w:sz w:val="24"/>
          <w:lang w:val="en"/>
        </w:rPr>
      </w:pPr>
    </w:p>
    <w:p w14:paraId="52F89ACC" w14:textId="77777777" w:rsidR="003E4FFB" w:rsidRDefault="003E4FFB" w:rsidP="0034671D">
      <w:pPr>
        <w:autoSpaceDE w:val="0"/>
        <w:autoSpaceDN w:val="0"/>
        <w:adjustRightInd w:val="0"/>
        <w:ind w:firstLine="284"/>
        <w:rPr>
          <w:rFonts w:ascii="Times New Roman" w:hAnsi="Times New Roman"/>
          <w:sz w:val="24"/>
          <w:lang w:val="en"/>
        </w:rPr>
      </w:pPr>
    </w:p>
    <w:p w14:paraId="6C136745" w14:textId="0EB8649D" w:rsidR="0034671D" w:rsidRPr="0034671D" w:rsidRDefault="0034671D" w:rsidP="0034671D">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lastRenderedPageBreak/>
        <w:t>Design factor 9 is what method is adopted by the organization in implementing IT. The identification results can be seen in Fig. 9.</w:t>
      </w:r>
    </w:p>
    <w:p w14:paraId="3F6DC51E" w14:textId="77777777" w:rsidR="0034671D" w:rsidRPr="0034671D" w:rsidRDefault="0034671D" w:rsidP="0034671D">
      <w:pPr>
        <w:pStyle w:val="TAMainText"/>
        <w:spacing w:line="240" w:lineRule="auto"/>
        <w:rPr>
          <w:rFonts w:ascii="Times New Roman" w:hAnsi="Times New Roman"/>
          <w:sz w:val="24"/>
          <w:szCs w:val="24"/>
          <w:lang w:val="en-GB"/>
        </w:rPr>
      </w:pPr>
    </w:p>
    <w:p w14:paraId="712FDDE5"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4938A611" wp14:editId="5DBD467B">
            <wp:extent cx="2132965" cy="1796415"/>
            <wp:effectExtent l="0" t="0" r="635" b="0"/>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609DC4" w14:textId="77777777" w:rsidR="0034671D" w:rsidRPr="0034671D" w:rsidRDefault="0034671D" w:rsidP="0034671D">
      <w:pPr>
        <w:pStyle w:val="TAMainText"/>
        <w:ind w:firstLine="0"/>
        <w:jc w:val="center"/>
        <w:rPr>
          <w:rFonts w:ascii="Times New Roman" w:hAnsi="Times New Roman"/>
          <w:sz w:val="24"/>
          <w:szCs w:val="24"/>
          <w:lang w:val="en-GB"/>
        </w:rPr>
      </w:pPr>
      <w:r w:rsidRPr="0034671D">
        <w:rPr>
          <w:rFonts w:ascii="Times New Roman" w:hAnsi="Times New Roman"/>
          <w:smallCaps/>
          <w:sz w:val="24"/>
          <w:szCs w:val="24"/>
          <w:lang w:val="en"/>
        </w:rPr>
        <w:t xml:space="preserve">Figure 9. </w:t>
      </w:r>
      <w:r w:rsidRPr="0034671D">
        <w:rPr>
          <w:rFonts w:ascii="Times New Roman" w:hAnsi="Times New Roman"/>
          <w:sz w:val="24"/>
          <w:szCs w:val="24"/>
          <w:lang w:val="en"/>
        </w:rPr>
        <w:t>Implementation methods</w:t>
      </w:r>
    </w:p>
    <w:p w14:paraId="1991408C" w14:textId="77777777" w:rsidR="0034671D" w:rsidRPr="0034671D" w:rsidRDefault="0034671D" w:rsidP="0034671D">
      <w:pPr>
        <w:pStyle w:val="TAMainText"/>
        <w:spacing w:line="240" w:lineRule="auto"/>
        <w:rPr>
          <w:rFonts w:ascii="Times New Roman" w:hAnsi="Times New Roman"/>
          <w:sz w:val="24"/>
          <w:szCs w:val="24"/>
          <w:lang w:val="en"/>
        </w:rPr>
      </w:pPr>
    </w:p>
    <w:p w14:paraId="7465F440" w14:textId="77777777" w:rsidR="00175A7B" w:rsidRPr="0034671D" w:rsidRDefault="0034671D" w:rsidP="00175A7B">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Based on the results of the picture above, DISKOMINFO applies Agile development in formulating and also implementing information technology so that it gets a percentage of 90%. The DevOps share is worth 10% because DISKOMINFO also implements how DevOps works to build, deploy and operate software.</w:t>
      </w:r>
      <w:r w:rsidR="00175A7B">
        <w:rPr>
          <w:rFonts w:ascii="Times New Roman" w:hAnsi="Times New Roman"/>
          <w:sz w:val="24"/>
          <w:lang w:val="en"/>
        </w:rPr>
        <w:t xml:space="preserve"> </w:t>
      </w:r>
      <w:r w:rsidRPr="0034671D">
        <w:rPr>
          <w:rFonts w:ascii="Times New Roman" w:hAnsi="Times New Roman"/>
          <w:sz w:val="24"/>
          <w:lang w:val="en"/>
        </w:rPr>
        <w:t>This design factor is a strategy used by organizations in adopting new technologies used. The results of the identification of design factors can be seen from Fig. 10 below.</w:t>
      </w:r>
      <w:r w:rsidR="00175A7B">
        <w:rPr>
          <w:rFonts w:ascii="Times New Roman" w:hAnsi="Times New Roman"/>
          <w:sz w:val="24"/>
          <w:lang w:val="en"/>
        </w:rPr>
        <w:t xml:space="preserve"> </w:t>
      </w:r>
      <w:r w:rsidR="00175A7B" w:rsidRPr="0034671D">
        <w:rPr>
          <w:rFonts w:ascii="Times New Roman" w:hAnsi="Times New Roman"/>
          <w:sz w:val="24"/>
          <w:lang w:val="en"/>
        </w:rPr>
        <w:t>Based on the identification results, the follower share is worth 50% because in DISKOMINFO Salatiga most of the innovations from the technology used follow from technology that has been developed from DISKOMINFO other big cities which will later be tried to be implemented to Salatiga. Furthermore, in the slow adapter section, it gets a 30% value because the Salatiga DISKOMINFO needs time to be able to adopt the technology that will be used whether it will be relevant to the state of Salatiga.</w:t>
      </w:r>
    </w:p>
    <w:p w14:paraId="065840B3" w14:textId="77777777" w:rsidR="0034671D" w:rsidRPr="0034671D" w:rsidRDefault="0034671D" w:rsidP="0034671D">
      <w:pPr>
        <w:pStyle w:val="TAMainText"/>
        <w:spacing w:line="240" w:lineRule="auto"/>
        <w:rPr>
          <w:rFonts w:ascii="Times New Roman" w:hAnsi="Times New Roman"/>
          <w:sz w:val="24"/>
          <w:szCs w:val="24"/>
          <w:lang w:val="en-GB"/>
        </w:rPr>
      </w:pPr>
    </w:p>
    <w:p w14:paraId="02B6D9D7" w14:textId="77777777" w:rsidR="0034671D" w:rsidRPr="0034671D" w:rsidRDefault="0092021A" w:rsidP="00D13494">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654A32AC" wp14:editId="27C2FB67">
            <wp:extent cx="2433320" cy="2254250"/>
            <wp:effectExtent l="0" t="0" r="5080" b="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CFB32B" w14:textId="77777777" w:rsidR="0034671D" w:rsidRPr="0034671D" w:rsidRDefault="0034671D" w:rsidP="0034671D">
      <w:pPr>
        <w:pStyle w:val="TAMainText"/>
        <w:ind w:firstLine="0"/>
        <w:jc w:val="center"/>
        <w:rPr>
          <w:rFonts w:ascii="Times New Roman" w:hAnsi="Times New Roman"/>
          <w:sz w:val="24"/>
          <w:szCs w:val="24"/>
          <w:lang w:val="en-GB"/>
        </w:rPr>
      </w:pPr>
      <w:r w:rsidRPr="00D13494">
        <w:rPr>
          <w:rFonts w:ascii="Times New Roman" w:hAnsi="Times New Roman"/>
          <w:smallCaps/>
          <w:sz w:val="24"/>
          <w:szCs w:val="24"/>
          <w:lang w:val="en"/>
        </w:rPr>
        <w:t>Figure 10.</w:t>
      </w:r>
      <w:r w:rsidRPr="0034671D">
        <w:rPr>
          <w:rFonts w:ascii="Times New Roman" w:hAnsi="Times New Roman"/>
          <w:sz w:val="24"/>
          <w:szCs w:val="24"/>
          <w:lang w:val="en"/>
        </w:rPr>
        <w:t xml:space="preserve"> Technology </w:t>
      </w:r>
      <w:r w:rsidR="00D13494" w:rsidRPr="0034671D">
        <w:rPr>
          <w:rFonts w:ascii="Times New Roman" w:hAnsi="Times New Roman"/>
          <w:sz w:val="24"/>
          <w:szCs w:val="24"/>
          <w:lang w:val="en"/>
        </w:rPr>
        <w:t>adaption strategy</w:t>
      </w:r>
    </w:p>
    <w:p w14:paraId="2A195CF4" w14:textId="77777777" w:rsidR="0034671D" w:rsidRPr="0034671D" w:rsidRDefault="0034671D" w:rsidP="0034671D">
      <w:pPr>
        <w:pStyle w:val="TAMainText"/>
        <w:spacing w:line="240" w:lineRule="auto"/>
        <w:rPr>
          <w:rFonts w:ascii="Times New Roman" w:hAnsi="Times New Roman"/>
          <w:sz w:val="24"/>
          <w:szCs w:val="24"/>
          <w:lang w:val="en"/>
        </w:rPr>
      </w:pPr>
    </w:p>
    <w:p w14:paraId="2A0FCF70" w14:textId="77777777" w:rsidR="0034671D" w:rsidRPr="0034671D" w:rsidRDefault="00D13494" w:rsidP="0034671D">
      <w:pPr>
        <w:pStyle w:val="TAMainText"/>
        <w:spacing w:line="240" w:lineRule="auto"/>
        <w:ind w:firstLine="0"/>
        <w:rPr>
          <w:rFonts w:ascii="Times New Roman" w:hAnsi="Times New Roman"/>
          <w:b/>
          <w:bCs/>
          <w:sz w:val="24"/>
          <w:szCs w:val="24"/>
          <w:lang w:val="en-GB"/>
        </w:rPr>
      </w:pPr>
      <w:r w:rsidRPr="00D13494">
        <w:rPr>
          <w:rFonts w:ascii="Times New Roman" w:hAnsi="Times New Roman"/>
          <w:bCs/>
          <w:sz w:val="24"/>
          <w:szCs w:val="24"/>
          <w:lang w:val="id-ID"/>
        </w:rPr>
        <w:t>4</w:t>
      </w:r>
      <w:r w:rsidR="0034671D" w:rsidRPr="00D13494">
        <w:rPr>
          <w:rFonts w:ascii="Times New Roman" w:hAnsi="Times New Roman"/>
          <w:bCs/>
          <w:sz w:val="24"/>
          <w:szCs w:val="24"/>
          <w:lang w:val="en"/>
        </w:rPr>
        <w:t>.</w:t>
      </w:r>
      <w:r w:rsidR="00AE7CC7">
        <w:rPr>
          <w:rFonts w:ascii="Times New Roman" w:hAnsi="Times New Roman"/>
          <w:bCs/>
          <w:sz w:val="24"/>
          <w:szCs w:val="24"/>
          <w:lang w:val="en"/>
        </w:rPr>
        <w:t>3</w:t>
      </w:r>
      <w:r w:rsidRPr="00D13494">
        <w:rPr>
          <w:rFonts w:ascii="Times New Roman" w:hAnsi="Times New Roman"/>
          <w:bCs/>
          <w:sz w:val="24"/>
          <w:szCs w:val="24"/>
          <w:lang w:val="id-ID"/>
        </w:rPr>
        <w:t>.</w:t>
      </w:r>
      <w:r w:rsidR="0034671D" w:rsidRPr="0034671D">
        <w:rPr>
          <w:rFonts w:ascii="Times New Roman" w:hAnsi="Times New Roman"/>
          <w:b/>
          <w:bCs/>
          <w:sz w:val="24"/>
          <w:szCs w:val="24"/>
          <w:lang w:val="en"/>
        </w:rPr>
        <w:t xml:space="preserve"> Governance System Design Results</w:t>
      </w:r>
    </w:p>
    <w:p w14:paraId="3B95CA83" w14:textId="77777777" w:rsidR="00372B62" w:rsidRPr="00372B62" w:rsidRDefault="0034671D" w:rsidP="00372B62">
      <w:pPr>
        <w:autoSpaceDE w:val="0"/>
        <w:autoSpaceDN w:val="0"/>
        <w:adjustRightInd w:val="0"/>
        <w:ind w:firstLine="284"/>
        <w:rPr>
          <w:rFonts w:ascii="Times New Roman" w:hAnsi="Times New Roman"/>
          <w:sz w:val="24"/>
          <w:lang w:val="en"/>
        </w:rPr>
      </w:pPr>
      <w:r w:rsidRPr="0034671D">
        <w:rPr>
          <w:rFonts w:ascii="Times New Roman" w:hAnsi="Times New Roman"/>
          <w:sz w:val="24"/>
          <w:lang w:val="en"/>
        </w:rPr>
        <w:t xml:space="preserve">Gathering input from the previous step will be used to complete the governance system design. The resulting IT governance design is in the form of a core model with priority objectives and functional levels. COBIT 2019 describes key processes based on priority and target capability level. A process with a priority score or score of &gt;=75 has a capability level </w:t>
      </w:r>
      <w:r w:rsidRPr="0034671D">
        <w:rPr>
          <w:rFonts w:ascii="Times New Roman" w:hAnsi="Times New Roman"/>
          <w:sz w:val="24"/>
          <w:lang w:val="en"/>
        </w:rPr>
        <w:lastRenderedPageBreak/>
        <w:t>target of 4. Priority or process scores with a score of &gt;=50 to &lt;75 have a capability level target of 3. Priority scores or processes with a score of &gt;=25 to &lt;50 have a Level 2 capability target. 25, the process must reach the level 1 capability target.</w:t>
      </w:r>
      <w:r w:rsidR="00175A7B">
        <w:rPr>
          <w:rFonts w:ascii="Times New Roman" w:hAnsi="Times New Roman"/>
          <w:sz w:val="24"/>
          <w:lang w:val="en"/>
        </w:rPr>
        <w:t xml:space="preserve"> </w:t>
      </w:r>
      <w:r w:rsidRPr="0034671D">
        <w:rPr>
          <w:rFonts w:ascii="Times New Roman" w:hAnsi="Times New Roman"/>
          <w:sz w:val="24"/>
          <w:lang w:val="en"/>
        </w:rPr>
        <w:t>The results of the IT governance design obtained can be seen from the following Fig. 11.</w:t>
      </w:r>
      <w:r w:rsidR="00372B62">
        <w:rPr>
          <w:rFonts w:ascii="Times New Roman" w:hAnsi="Times New Roman"/>
          <w:sz w:val="24"/>
          <w:lang w:val="en"/>
        </w:rPr>
        <w:t xml:space="preserve"> </w:t>
      </w:r>
      <w:r w:rsidR="00372B62" w:rsidRPr="0034671D">
        <w:rPr>
          <w:rFonts w:ascii="Times New Roman" w:hAnsi="Times New Roman"/>
          <w:sz w:val="24"/>
          <w:lang w:val="en"/>
        </w:rPr>
        <w:t>The results of the governance design are obtained from the identification at stages of design factor 1 to design factor 10 that have been carried out previously. A high positive value means that the process is a major focus for DISKOMINFO Salatiga. Then for the negative, it means that the process is not the main focus for DISKOMINFO Salatiga. The core model or main focus on DISKOMINFO Salatiga with known values ≥50 is APO12, APO14, BAI02, BAI03, BAI06, BAI07, BAI10, BAI11, DSS05.</w:t>
      </w:r>
    </w:p>
    <w:p w14:paraId="7C86E0B9" w14:textId="77777777" w:rsidR="00D13494" w:rsidRPr="00D13494" w:rsidRDefault="00D13494" w:rsidP="00D13494">
      <w:pPr>
        <w:autoSpaceDE w:val="0"/>
        <w:autoSpaceDN w:val="0"/>
        <w:adjustRightInd w:val="0"/>
        <w:ind w:firstLine="284"/>
        <w:rPr>
          <w:rFonts w:ascii="Times New Roman" w:hAnsi="Times New Roman"/>
          <w:sz w:val="24"/>
          <w:lang w:val="id-ID"/>
        </w:rPr>
      </w:pPr>
    </w:p>
    <w:p w14:paraId="5D6810F1" w14:textId="77777777" w:rsidR="0034671D" w:rsidRPr="0034671D" w:rsidRDefault="0092021A" w:rsidP="0034671D">
      <w:pPr>
        <w:pStyle w:val="TAMainText"/>
        <w:spacing w:line="240" w:lineRule="auto"/>
        <w:ind w:firstLine="0"/>
        <w:jc w:val="center"/>
        <w:rPr>
          <w:rFonts w:ascii="Times New Roman" w:hAnsi="Times New Roman"/>
          <w:sz w:val="24"/>
          <w:szCs w:val="24"/>
          <w:lang w:val="en-ID"/>
        </w:rPr>
      </w:pPr>
      <w:r w:rsidRPr="0034671D">
        <w:rPr>
          <w:rFonts w:ascii="Times New Roman" w:hAnsi="Times New Roman"/>
          <w:noProof/>
          <w:sz w:val="24"/>
          <w:szCs w:val="24"/>
          <w:lang w:val="id-ID" w:eastAsia="id-ID"/>
        </w:rPr>
        <w:drawing>
          <wp:inline distT="0" distB="0" distL="0" distR="0" wp14:anchorId="5217CC49" wp14:editId="33DBC3DD">
            <wp:extent cx="4000500" cy="3904615"/>
            <wp:effectExtent l="0" t="0" r="0" b="635"/>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5ED16D" w14:textId="77777777" w:rsidR="0034671D" w:rsidRPr="0034671D" w:rsidRDefault="0034671D" w:rsidP="0034671D">
      <w:pPr>
        <w:pStyle w:val="TAMainText"/>
        <w:ind w:firstLine="0"/>
        <w:jc w:val="center"/>
        <w:rPr>
          <w:rFonts w:ascii="Times New Roman" w:hAnsi="Times New Roman"/>
          <w:sz w:val="24"/>
          <w:szCs w:val="24"/>
          <w:lang w:val="en-ID"/>
        </w:rPr>
      </w:pPr>
      <w:r w:rsidRPr="00D13494">
        <w:rPr>
          <w:rFonts w:ascii="Times New Roman" w:hAnsi="Times New Roman"/>
          <w:smallCaps/>
          <w:sz w:val="24"/>
          <w:szCs w:val="24"/>
          <w:lang w:val="en"/>
        </w:rPr>
        <w:t>Figure 11.</w:t>
      </w:r>
      <w:r w:rsidRPr="0034671D">
        <w:rPr>
          <w:rFonts w:ascii="Times New Roman" w:hAnsi="Times New Roman"/>
          <w:sz w:val="24"/>
          <w:szCs w:val="24"/>
          <w:lang w:val="en"/>
        </w:rPr>
        <w:t xml:space="preserve"> Governance </w:t>
      </w:r>
      <w:r w:rsidR="00D13494" w:rsidRPr="0034671D">
        <w:rPr>
          <w:rFonts w:ascii="Times New Roman" w:hAnsi="Times New Roman"/>
          <w:sz w:val="24"/>
          <w:szCs w:val="24"/>
          <w:lang w:val="en"/>
        </w:rPr>
        <w:t>design results</w:t>
      </w:r>
    </w:p>
    <w:p w14:paraId="5C9547AB" w14:textId="77777777" w:rsidR="0034671D" w:rsidRPr="0034671D" w:rsidRDefault="0034671D" w:rsidP="0034671D">
      <w:pPr>
        <w:autoSpaceDE w:val="0"/>
        <w:autoSpaceDN w:val="0"/>
        <w:adjustRightInd w:val="0"/>
        <w:jc w:val="left"/>
        <w:rPr>
          <w:rFonts w:ascii="Times New Roman" w:eastAsia="SimSun" w:hAnsi="Times New Roman"/>
          <w:kern w:val="0"/>
          <w:sz w:val="24"/>
          <w:lang w:val="id-ID" w:eastAsia="zh-CN"/>
        </w:rPr>
      </w:pPr>
    </w:p>
    <w:p w14:paraId="65EB5BBC" w14:textId="77777777" w:rsidR="00C47240" w:rsidRDefault="00C47240" w:rsidP="00D13494">
      <w:pPr>
        <w:autoSpaceDE w:val="0"/>
        <w:autoSpaceDN w:val="0"/>
        <w:adjustRightInd w:val="0"/>
        <w:rPr>
          <w:rFonts w:ascii="Times New Roman" w:hAnsi="Times New Roman"/>
          <w:kern w:val="0"/>
          <w:sz w:val="24"/>
        </w:rPr>
      </w:pPr>
      <w:r>
        <w:rPr>
          <w:rFonts w:ascii="Times New Roman" w:hAnsi="Times New Roman"/>
          <w:kern w:val="0"/>
          <w:sz w:val="24"/>
        </w:rPr>
        <w:t xml:space="preserve">5. </w:t>
      </w:r>
      <w:r>
        <w:rPr>
          <w:rFonts w:ascii="Times New Roman" w:hAnsi="Times New Roman"/>
          <w:b/>
          <w:bCs/>
          <w:kern w:val="0"/>
          <w:sz w:val="24"/>
        </w:rPr>
        <w:t xml:space="preserve">Conclusions. </w:t>
      </w:r>
      <w:r w:rsidR="00D13494" w:rsidRPr="00D13494">
        <w:rPr>
          <w:rFonts w:ascii="Times New Roman" w:hAnsi="Times New Roman"/>
          <w:sz w:val="24"/>
        </w:rPr>
        <w:t xml:space="preserve">This study was conducted to identify design factors that can affect governance and provide a workflow for planning appropriate and relevant governance structures for salatiga disco information. The results of planning or governance design at DISKOMINFO Salatiga produce nine very important processes by which evaluation criteria are applied. Processes with level 3 capability targets include APO12, APO14, BAI02, BAI07, BAI10, BAI11 and also DSS05. Furthermore, the targets that are at level 4 capabilities are BAI03 and BAI06 where these two processes are related to determining solutions, designing and implementing according to needs and managing all changes related to changes in digitalization related to business processes and organizational infrastructure. The results of the IT governance design research can be given a recommendation suggestion that DISKOMINFO Salatiga requires the design of a Government Resources Management System (GRMS) in order to realize a Smart City. Furthermore, from the research on governance planning of the Government Resources Management System at DISKOMINFO </w:t>
      </w:r>
      <w:r w:rsidR="00D13494" w:rsidRPr="00D13494">
        <w:rPr>
          <w:rFonts w:ascii="Times New Roman" w:hAnsi="Times New Roman"/>
          <w:sz w:val="24"/>
        </w:rPr>
        <w:lastRenderedPageBreak/>
        <w:t>Salatiga, it can be further implemented in the next research to improve and improve the level of IT governance capabilities at DISKOMINFO Salatiga</w:t>
      </w:r>
      <w:r w:rsidRPr="00D13494">
        <w:rPr>
          <w:rFonts w:ascii="Times New Roman" w:hAnsi="Times New Roman"/>
          <w:kern w:val="0"/>
          <w:sz w:val="24"/>
        </w:rPr>
        <w:t>.</w:t>
      </w:r>
    </w:p>
    <w:p w14:paraId="112B3BBA" w14:textId="77777777" w:rsidR="00C47240" w:rsidRDefault="00C47240" w:rsidP="00B66B76">
      <w:pPr>
        <w:autoSpaceDE w:val="0"/>
        <w:autoSpaceDN w:val="0"/>
        <w:adjustRightInd w:val="0"/>
        <w:jc w:val="left"/>
        <w:rPr>
          <w:rFonts w:ascii="Times New Roman" w:hAnsi="Times New Roman"/>
          <w:b/>
          <w:bCs/>
          <w:kern w:val="0"/>
          <w:sz w:val="24"/>
        </w:rPr>
      </w:pPr>
    </w:p>
    <w:p w14:paraId="429F0EC9" w14:textId="77777777" w:rsidR="00C47240" w:rsidRDefault="00C47240" w:rsidP="00B66B76">
      <w:pPr>
        <w:autoSpaceDE w:val="0"/>
        <w:autoSpaceDN w:val="0"/>
        <w:adjustRightInd w:val="0"/>
        <w:rPr>
          <w:rFonts w:ascii="Times New Roman" w:hAnsi="Times New Roman"/>
          <w:kern w:val="0"/>
          <w:sz w:val="24"/>
        </w:rPr>
      </w:pPr>
      <w:r>
        <w:rPr>
          <w:rFonts w:ascii="Times New Roman" w:hAnsi="Times New Roman"/>
          <w:b/>
          <w:bCs/>
          <w:kern w:val="0"/>
          <w:sz w:val="24"/>
        </w:rPr>
        <w:t>Acknowledgment</w:t>
      </w:r>
      <w:r w:rsidRPr="00D13494">
        <w:rPr>
          <w:rFonts w:ascii="Times New Roman" w:hAnsi="Times New Roman"/>
          <w:b/>
          <w:bCs/>
          <w:kern w:val="0"/>
          <w:sz w:val="24"/>
        </w:rPr>
        <w:t xml:space="preserve">. </w:t>
      </w:r>
      <w:r w:rsidR="00D13494" w:rsidRPr="00D13494">
        <w:rPr>
          <w:rFonts w:ascii="Times New Roman" w:hAnsi="Times New Roman"/>
          <w:sz w:val="24"/>
        </w:rPr>
        <w:t>This research is fully supported by Satya Wacana Christian University internal grant. The authors fully acknowledged DISKOMINFO Salatiga for the approved research object and data which makes this important research successfully</w:t>
      </w:r>
      <w:r w:rsidRPr="00D13494">
        <w:rPr>
          <w:rFonts w:ascii="Times New Roman" w:hAnsi="Times New Roman"/>
          <w:kern w:val="0"/>
          <w:sz w:val="24"/>
        </w:rPr>
        <w:t>.</w:t>
      </w:r>
    </w:p>
    <w:p w14:paraId="6B07020B" w14:textId="77777777" w:rsidR="001C5ACE" w:rsidRPr="001C5ACE" w:rsidRDefault="001C5ACE" w:rsidP="00B66B76">
      <w:pPr>
        <w:autoSpaceDE w:val="0"/>
        <w:autoSpaceDN w:val="0"/>
        <w:adjustRightInd w:val="0"/>
        <w:jc w:val="left"/>
        <w:rPr>
          <w:rFonts w:ascii="Times New Roman" w:eastAsia="SimSun" w:hAnsi="Times New Roman"/>
          <w:b/>
          <w:bCs/>
          <w:kern w:val="0"/>
          <w:sz w:val="20"/>
          <w:szCs w:val="20"/>
          <w:lang w:val="id-ID" w:eastAsia="zh-CN"/>
        </w:rPr>
      </w:pPr>
    </w:p>
    <w:p w14:paraId="06E655B6" w14:textId="77777777" w:rsidR="00C47240" w:rsidRDefault="00C47240">
      <w:pPr>
        <w:autoSpaceDE w:val="0"/>
        <w:autoSpaceDN w:val="0"/>
        <w:adjustRightInd w:val="0"/>
        <w:spacing w:line="300" w:lineRule="atLeast"/>
        <w:jc w:val="center"/>
        <w:rPr>
          <w:rFonts w:ascii="Times New Roman" w:hAnsi="Times New Roman"/>
          <w:b/>
          <w:bCs/>
          <w:kern w:val="0"/>
          <w:sz w:val="20"/>
          <w:szCs w:val="20"/>
        </w:rPr>
      </w:pPr>
      <w:r>
        <w:rPr>
          <w:rFonts w:ascii="Times New Roman" w:hAnsi="Times New Roman"/>
          <w:b/>
          <w:bCs/>
          <w:kern w:val="0"/>
          <w:sz w:val="20"/>
          <w:szCs w:val="20"/>
        </w:rPr>
        <w:t>REFERENCES</w:t>
      </w:r>
    </w:p>
    <w:p w14:paraId="4D72E861" w14:textId="77777777" w:rsidR="00C47240" w:rsidRDefault="00C47240">
      <w:pPr>
        <w:spacing w:line="0" w:lineRule="atLeast"/>
        <w:ind w:right="-23"/>
        <w:rPr>
          <w:rFonts w:ascii="Arial" w:hAnsi="Arial" w:cs="Arial"/>
          <w:sz w:val="16"/>
          <w:szCs w:val="16"/>
        </w:rPr>
      </w:pPr>
    </w:p>
    <w:p w14:paraId="4C49B318"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A. Rocky Tanaamah, A. Fritz Wijaya, S. Ayu Maylinda, U. Kristen Satya Wacana, and P. Correspondence, </w:t>
      </w:r>
      <w:r>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Information Technology Governance in the Public Sector: Alignment of Information Technology with Leadership Vision (Case Study: Salatiga City and Bengkayang Regency) Information Technology Governance in the Public Sector: Information Technology Alignment Wi,</w:t>
      </w:r>
      <w:r>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vol. 8, No. 6, pp. 1319–1330, 2021, doi: 10.25126/jtiik.202185379.</w:t>
      </w:r>
    </w:p>
    <w:p w14:paraId="4268821A"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L. N. Amali, </w:t>
      </w:r>
      <w:r>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Effective IT Governance in Local Government Organizations,</w:t>
      </w:r>
      <w:r>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D13494">
        <w:rPr>
          <w:rFonts w:ascii="Times New Roman" w:eastAsia="Times New Roman" w:hAnsi="Times New Roman"/>
          <w:i/>
          <w:noProof/>
          <w:sz w:val="20"/>
          <w:lang w:val="en" w:eastAsia="en-US"/>
        </w:rPr>
        <w:t>semin. Nas. Sist. Inf. Indones.</w:t>
      </w:r>
      <w:r w:rsidRPr="00D13494">
        <w:rPr>
          <w:rFonts w:ascii="Times New Roman" w:eastAsia="Times New Roman" w:hAnsi="Times New Roman"/>
          <w:sz w:val="20"/>
          <w:lang w:val="en" w:eastAsia="en-US"/>
        </w:rPr>
        <w:t xml:space="preserve">, </w:t>
      </w:r>
      <w:r w:rsidRPr="00D13494">
        <w:rPr>
          <w:rFonts w:ascii="Times New Roman" w:eastAsia="Times New Roman" w:hAnsi="Times New Roman"/>
          <w:noProof/>
          <w:sz w:val="20"/>
          <w:lang w:val="en" w:eastAsia="en-US"/>
        </w:rPr>
        <w:t>pp. 37–43, 2013.</w:t>
      </w:r>
    </w:p>
    <w:p w14:paraId="3E53E5E1"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E. H. Fanida and F. Niswah,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Government Resource Management System (Grms): Public Service Innovation in Regional Financial Management in Surabaya City Government,</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Publik, J. Adm</w:t>
      </w:r>
      <w:r w:rsidRPr="00014544">
        <w:rPr>
          <w:rFonts w:ascii="Times New Roman" w:eastAsia="Times New Roman" w:hAnsi="Times New Roman"/>
          <w:i/>
          <w:sz w:val="20"/>
          <w:lang w:val="en" w:eastAsia="en-US"/>
        </w:rPr>
        <w:t>.</w:t>
      </w:r>
      <w:r w:rsidRPr="00D13494">
        <w:rPr>
          <w:rFonts w:ascii="Times New Roman" w:eastAsia="Times New Roman" w:hAnsi="Times New Roman"/>
          <w:sz w:val="20"/>
          <w:lang w:val="en" w:eastAsia="en-US"/>
        </w:rPr>
        <w:t xml:space="preserve">, </w:t>
      </w:r>
      <w:r w:rsidRPr="00D13494">
        <w:rPr>
          <w:rFonts w:ascii="Times New Roman" w:eastAsia="Times New Roman" w:hAnsi="Times New Roman"/>
          <w:noProof/>
          <w:sz w:val="20"/>
          <w:lang w:val="en" w:eastAsia="en-US"/>
        </w:rPr>
        <w:t>vol. 12, no. April, pp. 35–44, 2015.</w:t>
      </w:r>
    </w:p>
    <w:p w14:paraId="33A6B8B0"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M. Huda,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Public Service Management Innovation through Government Resources Management System (GRMS) in Central Java Province,</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JPW (Journal of Polit. Walisongo)</w:t>
      </w:r>
      <w:r w:rsidRPr="00D13494">
        <w:rPr>
          <w:rFonts w:ascii="Times New Roman" w:eastAsia="Times New Roman" w:hAnsi="Times New Roman"/>
          <w:sz w:val="20"/>
          <w:lang w:val="en" w:eastAsia="en-US"/>
        </w:rPr>
        <w:t xml:space="preserve">, vol. 2, </w:t>
      </w:r>
      <w:r w:rsidRPr="00D13494">
        <w:rPr>
          <w:rFonts w:ascii="Times New Roman" w:eastAsia="Times New Roman" w:hAnsi="Times New Roman"/>
          <w:noProof/>
          <w:sz w:val="20"/>
          <w:lang w:val="en" w:eastAsia="en-US"/>
        </w:rPr>
        <w:t>no. 2, pp. 67–82, 2020, doi: 10.21580/jpw.v2i2.6658.</w:t>
      </w:r>
    </w:p>
    <w:p w14:paraId="1E080A83"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N. Widodo,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Development of e-Government in Local Government in the Context of Realizing Smart City (Study in Malang City Local Government),</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J. Ilm. Adm. Publik</w:t>
      </w:r>
      <w:r w:rsidRPr="00D13494">
        <w:rPr>
          <w:rFonts w:ascii="Times New Roman" w:eastAsia="Times New Roman" w:hAnsi="Times New Roman"/>
          <w:sz w:val="20"/>
          <w:lang w:val="en" w:eastAsia="en-US"/>
        </w:rPr>
        <w:t xml:space="preserve">, </w:t>
      </w:r>
      <w:r w:rsidRPr="00D13494">
        <w:rPr>
          <w:rFonts w:ascii="Times New Roman" w:eastAsia="Times New Roman" w:hAnsi="Times New Roman"/>
          <w:noProof/>
          <w:sz w:val="20"/>
          <w:lang w:val="en" w:eastAsia="en-US"/>
        </w:rPr>
        <w:t>vol. 2, no. 4, pp. 227–235, 2016, doi: 10.21776/ub.jiap.2016.002.04.15.</w:t>
      </w:r>
    </w:p>
    <w:p w14:paraId="3587FD83"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ISACA,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COBIT 2019 Governance System Design Workbook — Instructions COBIT ® ® 2019 Governance System Design Workbook — Instructions,</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2020.</w:t>
      </w:r>
    </w:p>
    <w:p w14:paraId="3D154DBA"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ISACA,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COBIT® 2019: Designing an Information and Technology Governance Solution</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2018.</w:t>
      </w:r>
    </w:p>
    <w:p w14:paraId="7553A8D1"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S. Y. Lee, A. Ramasamy, and J. H. Rhee, </w:t>
      </w:r>
      <w:r w:rsidR="00014544">
        <w:rPr>
          <w:rFonts w:ascii="Times New Roman" w:eastAsia="Times New Roman" w:hAnsi="Times New Roman"/>
          <w:noProof/>
          <w:sz w:val="20"/>
          <w:lang w:val="id-ID" w:eastAsia="en-US"/>
        </w:rPr>
        <w:t>“</w:t>
      </w:r>
      <w:r w:rsidR="00014544">
        <w:rPr>
          <w:rFonts w:ascii="Times New Roman" w:eastAsia="Times New Roman" w:hAnsi="Times New Roman"/>
          <w:noProof/>
          <w:sz w:val="20"/>
          <w:lang w:val="en" w:eastAsia="en-US"/>
        </w:rPr>
        <w:t>Introduction and Methodology</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2014. doi: 10.1007/978-3-642-55058-4_1.</w:t>
      </w:r>
    </w:p>
    <w:p w14:paraId="2580485F"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M. Gilang Ginanjar, L. Ramadani, and R. Adhitya Nugraha,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Designing Information Technology Governance Using the Cobit 2019 Framework at DISKOMINFOSAN Sukabumi Regency,</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Smart Comp Jurnal nya Orang Pint. Compute.</w:t>
      </w:r>
      <w:r w:rsidRPr="00D13494">
        <w:rPr>
          <w:rFonts w:ascii="Times New Roman" w:eastAsia="Times New Roman" w:hAnsi="Times New Roman"/>
          <w:sz w:val="20"/>
          <w:lang w:val="en" w:eastAsia="en-US"/>
        </w:rPr>
        <w:t xml:space="preserve"> , vol. 10, no. 3, pp. 160</w:t>
      </w:r>
      <w:r w:rsidRPr="00D13494">
        <w:rPr>
          <w:rFonts w:ascii="Times New Roman" w:eastAsia="Times New Roman" w:hAnsi="Times New Roman"/>
          <w:noProof/>
          <w:sz w:val="20"/>
          <w:lang w:val="en" w:eastAsia="en-US"/>
        </w:rPr>
        <w:t>–166, 2021, doi: 10.30591/smartcomp.v10i3.2943.</w:t>
      </w:r>
    </w:p>
    <w:p w14:paraId="4565344F"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E. Nachrowi, </w:t>
      </w:r>
      <w:r w:rsidR="00014544">
        <w:rPr>
          <w:rFonts w:ascii="Times New Roman" w:eastAsia="Times New Roman" w:hAnsi="Times New Roman"/>
          <w:noProof/>
          <w:sz w:val="20"/>
          <w:lang w:val="id-ID" w:eastAsia="en-US"/>
        </w:rPr>
        <w:t>Y.</w:t>
      </w:r>
      <w:r w:rsidRPr="00D13494">
        <w:rPr>
          <w:rFonts w:ascii="Times New Roman" w:eastAsia="Times New Roman" w:hAnsi="Times New Roman"/>
          <w:noProof/>
          <w:sz w:val="20"/>
          <w:lang w:val="en" w:eastAsia="en-US"/>
        </w:rPr>
        <w:t xml:space="preserve"> Nurhadryani, and </w:t>
      </w:r>
      <w:r w:rsidR="00014544">
        <w:rPr>
          <w:rFonts w:ascii="Times New Roman" w:eastAsia="Times New Roman" w:hAnsi="Times New Roman"/>
          <w:noProof/>
          <w:sz w:val="20"/>
          <w:lang w:val="id-ID" w:eastAsia="en-US"/>
        </w:rPr>
        <w:t>H.</w:t>
      </w:r>
      <w:r w:rsidRPr="00D13494">
        <w:rPr>
          <w:rFonts w:ascii="Times New Roman" w:eastAsia="Times New Roman" w:hAnsi="Times New Roman"/>
          <w:noProof/>
          <w:sz w:val="20"/>
          <w:lang w:val="en" w:eastAsia="en-US"/>
        </w:rPr>
        <w:t xml:space="preserve"> Sukoco,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Evaluation of Governance and Management of Information Technology Services Using Cobit 2019 and ITIL 4,</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J. RESTI (Engineering Sist. and Teknol. Information)</w:t>
      </w:r>
      <w:r w:rsidRPr="00D13494">
        <w:rPr>
          <w:rFonts w:ascii="Times New Roman" w:eastAsia="Times New Roman" w:hAnsi="Times New Roman"/>
          <w:sz w:val="20"/>
          <w:lang w:val="en" w:eastAsia="en-US"/>
        </w:rPr>
        <w:t>, vol. 4, no. 4, pp. 764–774, 2020</w:t>
      </w:r>
      <w:r w:rsidRPr="00D13494">
        <w:rPr>
          <w:rFonts w:ascii="Times New Roman" w:eastAsia="Times New Roman" w:hAnsi="Times New Roman"/>
          <w:noProof/>
          <w:sz w:val="20"/>
          <w:lang w:val="en" w:eastAsia="en-US"/>
        </w:rPr>
        <w:t>, doi: 10.29207/resti.v4i4.2265.</w:t>
      </w:r>
    </w:p>
    <w:p w14:paraId="5694A5B2"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M. Solehuddin et al.,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Information Technology Governance Planning Using the Cobit 2019 Framework on DPMPTSP,</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J. Ilm. Computing</w:t>
      </w:r>
      <w:r w:rsidRPr="00D13494">
        <w:rPr>
          <w:rFonts w:ascii="Times New Roman" w:eastAsia="Times New Roman" w:hAnsi="Times New Roman"/>
          <w:sz w:val="20"/>
          <w:lang w:val="en" w:eastAsia="en-US"/>
        </w:rPr>
        <w:t xml:space="preserve">, vol. 20, </w:t>
      </w:r>
      <w:r w:rsidRPr="00D13494">
        <w:rPr>
          <w:rFonts w:ascii="Times New Roman" w:eastAsia="Times New Roman" w:hAnsi="Times New Roman"/>
          <w:noProof/>
          <w:sz w:val="20"/>
          <w:lang w:val="en" w:eastAsia="en-US"/>
        </w:rPr>
        <w:t>no. 2, pp. 155–164, 2021, doi: 10.32409/jikstik.20.2.2750.</w:t>
      </w:r>
    </w:p>
    <w:p w14:paraId="1FA58631"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eastAsia="en-US"/>
        </w:rPr>
      </w:pPr>
      <w:r w:rsidRPr="00D13494">
        <w:rPr>
          <w:rFonts w:ascii="Times New Roman" w:eastAsia="Times New Roman" w:hAnsi="Times New Roman"/>
          <w:noProof/>
          <w:sz w:val="20"/>
          <w:lang w:val="en" w:eastAsia="en-US"/>
        </w:rPr>
        <w:t xml:space="preserve">S. Fitrasha Bayastura, S. Krisdina, and A. Puji Widodo,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Information Technology Governance Analysis Using the Cobit 2019 Framework at Pt. Xyz,</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JIKO (Inform. Journal and Computers)</w:t>
      </w:r>
      <w:r w:rsidRPr="00D13494">
        <w:rPr>
          <w:rFonts w:ascii="Times New Roman" w:eastAsia="Times New Roman" w:hAnsi="Times New Roman"/>
          <w:sz w:val="20"/>
          <w:lang w:val="en" w:eastAsia="en-US"/>
        </w:rPr>
        <w:t xml:space="preserve">, </w:t>
      </w:r>
      <w:r w:rsidRPr="00D13494">
        <w:rPr>
          <w:rFonts w:ascii="Times New Roman" w:eastAsia="Times New Roman" w:hAnsi="Times New Roman"/>
          <w:noProof/>
          <w:sz w:val="20"/>
          <w:lang w:val="en" w:eastAsia="en-US"/>
        </w:rPr>
        <w:t>vol. 4, no. 1, pp. 68–75, 2021, doi: 10.33387/jiko.v4i1.2977.</w:t>
      </w:r>
    </w:p>
    <w:p w14:paraId="2C19C830"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val="id-ID" w:eastAsia="en-US"/>
        </w:rPr>
      </w:pPr>
      <w:r w:rsidRPr="00D13494">
        <w:rPr>
          <w:rFonts w:ascii="Times New Roman" w:eastAsia="Times New Roman" w:hAnsi="Times New Roman"/>
          <w:noProof/>
          <w:sz w:val="20"/>
          <w:lang w:val="id-ID" w:eastAsia="en-US"/>
        </w:rPr>
        <w:t xml:space="preserve">S. E. Condrey,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id-ID" w:eastAsia="en-US"/>
        </w:rPr>
        <w:t>Human Resource Management in Government Second Edition</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id-ID" w:eastAsia="en-US"/>
        </w:rPr>
        <w:t xml:space="preserve">” </w:t>
      </w:r>
      <w:r w:rsidRPr="00014544">
        <w:rPr>
          <w:rFonts w:ascii="Times New Roman" w:eastAsia="Times New Roman" w:hAnsi="Times New Roman"/>
          <w:i/>
          <w:noProof/>
          <w:sz w:val="20"/>
          <w:lang w:val="id-ID" w:eastAsia="en-US"/>
        </w:rPr>
        <w:t>A Wiley Imprint</w:t>
      </w:r>
      <w:r w:rsidR="00014544">
        <w:rPr>
          <w:rFonts w:ascii="Times New Roman" w:eastAsia="Times New Roman" w:hAnsi="Times New Roman"/>
          <w:noProof/>
          <w:sz w:val="20"/>
          <w:lang w:val="id-ID" w:eastAsia="en-US"/>
        </w:rPr>
        <w:t>, 2015</w:t>
      </w:r>
      <w:r w:rsidRPr="00D13494">
        <w:rPr>
          <w:rFonts w:ascii="Times New Roman" w:eastAsia="Times New Roman" w:hAnsi="Times New Roman"/>
          <w:noProof/>
          <w:sz w:val="20"/>
          <w:lang w:val="id-ID" w:eastAsia="en-US"/>
        </w:rPr>
        <w:t xml:space="preserve">. </w:t>
      </w:r>
    </w:p>
    <w:p w14:paraId="7421B0BA" w14:textId="77777777" w:rsidR="00D13494" w:rsidRPr="00D13494" w:rsidRDefault="00D13494" w:rsidP="00D13494">
      <w:pPr>
        <w:numPr>
          <w:ilvl w:val="0"/>
          <w:numId w:val="3"/>
        </w:numPr>
        <w:autoSpaceDE w:val="0"/>
        <w:autoSpaceDN w:val="0"/>
        <w:adjustRightInd w:val="0"/>
        <w:rPr>
          <w:rFonts w:ascii="Times New Roman" w:eastAsia="Times New Roman" w:hAnsi="Times New Roman"/>
          <w:noProof/>
          <w:sz w:val="20"/>
          <w:lang w:val="id-ID" w:eastAsia="en-US"/>
        </w:rPr>
      </w:pPr>
      <w:r w:rsidRPr="00D13494">
        <w:rPr>
          <w:rFonts w:ascii="Times New Roman" w:eastAsia="Times New Roman" w:hAnsi="Times New Roman"/>
          <w:noProof/>
          <w:sz w:val="20"/>
          <w:lang w:val="id-ID" w:eastAsia="en-US"/>
        </w:rPr>
        <w:t>H. Hammanur, A. P. Irfan, M. Musyirifah, “Mapping IT Governance Based on COBIT 2019 on the Enterprise System Architecture Smart Tourism PT. YoY Management International,</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id-ID" w:eastAsia="en-US"/>
        </w:rPr>
        <w:t xml:space="preserve"> </w:t>
      </w:r>
      <w:r w:rsidRPr="00014544">
        <w:rPr>
          <w:rFonts w:ascii="Times New Roman" w:eastAsia="Times New Roman" w:hAnsi="Times New Roman"/>
          <w:i/>
          <w:noProof/>
          <w:sz w:val="20"/>
          <w:lang w:val="id-ID" w:eastAsia="en-US"/>
        </w:rPr>
        <w:t>J-Icon: Jurnal Komputer dan Informatika</w:t>
      </w:r>
      <w:r w:rsidR="00014544" w:rsidRPr="00014544">
        <w:rPr>
          <w:rFonts w:ascii="Times New Roman" w:eastAsia="Times New Roman" w:hAnsi="Times New Roman"/>
          <w:i/>
          <w:noProof/>
          <w:sz w:val="20"/>
          <w:lang w:val="id-ID" w:eastAsia="en-US"/>
        </w:rPr>
        <w:t>m</w:t>
      </w:r>
      <w:r w:rsidR="00014544">
        <w:rPr>
          <w:rFonts w:ascii="Times New Roman" w:eastAsia="Times New Roman" w:hAnsi="Times New Roman"/>
          <w:noProof/>
          <w:sz w:val="20"/>
          <w:lang w:val="id-ID" w:eastAsia="en-US"/>
        </w:rPr>
        <w:t>, 2022</w:t>
      </w:r>
      <w:r w:rsidRPr="00D13494">
        <w:rPr>
          <w:rFonts w:ascii="Times New Roman" w:eastAsia="Times New Roman" w:hAnsi="Times New Roman"/>
          <w:noProof/>
          <w:sz w:val="20"/>
          <w:lang w:val="id-ID" w:eastAsia="en-US"/>
        </w:rPr>
        <w:t>.</w:t>
      </w:r>
    </w:p>
    <w:p w14:paraId="4B85C0DD" w14:textId="77777777" w:rsidR="00C47240" w:rsidRPr="00D13494" w:rsidRDefault="00D13494" w:rsidP="00D13494">
      <w:pPr>
        <w:numPr>
          <w:ilvl w:val="0"/>
          <w:numId w:val="3"/>
        </w:numPr>
        <w:autoSpaceDE w:val="0"/>
        <w:autoSpaceDN w:val="0"/>
        <w:adjustRightInd w:val="0"/>
        <w:rPr>
          <w:rFonts w:ascii="Times New Roman" w:eastAsia="Times New Roman" w:hAnsi="Times New Roman"/>
          <w:noProof/>
          <w:sz w:val="20"/>
          <w:lang w:val="id-ID" w:eastAsia="en-US"/>
        </w:rPr>
      </w:pPr>
      <w:r w:rsidRPr="00D13494">
        <w:rPr>
          <w:rFonts w:ascii="Times New Roman" w:eastAsia="Times New Roman" w:hAnsi="Times New Roman"/>
          <w:noProof/>
          <w:sz w:val="20"/>
          <w:lang w:val="en" w:eastAsia="en-US"/>
        </w:rPr>
        <w:t xml:space="preserve">R. Khoirunnisak, D. Arishanti, and D. D. Vebrianti, </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Application of Surabaya City Government E-Budgeting in Achieving Good Governance,</w:t>
      </w:r>
      <w:r w:rsidR="00014544">
        <w:rPr>
          <w:rFonts w:ascii="Times New Roman" w:eastAsia="Times New Roman" w:hAnsi="Times New Roman"/>
          <w:noProof/>
          <w:sz w:val="20"/>
          <w:lang w:val="id-ID" w:eastAsia="en-US"/>
        </w:rPr>
        <w:t>”</w:t>
      </w:r>
      <w:r w:rsidRPr="00D13494">
        <w:rPr>
          <w:rFonts w:ascii="Times New Roman" w:eastAsia="Times New Roman" w:hAnsi="Times New Roman"/>
          <w:noProof/>
          <w:sz w:val="20"/>
          <w:lang w:val="en" w:eastAsia="en-US"/>
        </w:rPr>
        <w:t xml:space="preserve"> </w:t>
      </w:r>
      <w:r w:rsidRPr="00014544">
        <w:rPr>
          <w:rFonts w:ascii="Times New Roman" w:eastAsia="Times New Roman" w:hAnsi="Times New Roman"/>
          <w:i/>
          <w:noProof/>
          <w:sz w:val="20"/>
          <w:lang w:val="en" w:eastAsia="en-US"/>
        </w:rPr>
        <w:t>Pros. Lemonmen. Nas. and Call Pap. Economy. and Business</w:t>
      </w:r>
      <w:r w:rsidRPr="00D13494">
        <w:rPr>
          <w:rFonts w:ascii="Times New Roman" w:eastAsia="Times New Roman" w:hAnsi="Times New Roman"/>
          <w:sz w:val="20"/>
          <w:lang w:val="en" w:eastAsia="en-US"/>
        </w:rPr>
        <w:t xml:space="preserve">, vol. 2017, </w:t>
      </w:r>
      <w:r w:rsidRPr="00D13494">
        <w:rPr>
          <w:rFonts w:ascii="Times New Roman" w:eastAsia="Times New Roman" w:hAnsi="Times New Roman"/>
          <w:noProof/>
          <w:sz w:val="20"/>
          <w:lang w:val="en" w:eastAsia="en-US"/>
        </w:rPr>
        <w:t xml:space="preserve">pp. 249–250, 2017, [Online]. </w:t>
      </w:r>
    </w:p>
    <w:sectPr w:rsidR="00C47240" w:rsidRPr="00D13494" w:rsidSect="00014544">
      <w:headerReference w:type="even" r:id="rId20"/>
      <w:headerReference w:type="default" r:id="rId21"/>
      <w:footerReference w:type="first" r:id="rId22"/>
      <w:pgSz w:w="12240" w:h="15840" w:code="1"/>
      <w:pgMar w:top="1418" w:right="1701" w:bottom="1134" w:left="170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270D" w14:textId="77777777" w:rsidR="00E2022C" w:rsidRDefault="00E2022C">
      <w:r>
        <w:separator/>
      </w:r>
    </w:p>
  </w:endnote>
  <w:endnote w:type="continuationSeparator" w:id="0">
    <w:p w14:paraId="50329B4B" w14:textId="77777777" w:rsidR="00E2022C" w:rsidRDefault="00E2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4DA3" w14:textId="77777777" w:rsidR="00014544" w:rsidRPr="00014544" w:rsidRDefault="00014544">
    <w:pPr>
      <w:pStyle w:val="Footer"/>
      <w:jc w:val="center"/>
      <w:rPr>
        <w:rFonts w:ascii="Times New Roman" w:hAnsi="Times New Roman"/>
        <w:sz w:val="20"/>
      </w:rPr>
    </w:pPr>
    <w:r w:rsidRPr="00014544">
      <w:rPr>
        <w:rFonts w:ascii="Times New Roman" w:hAnsi="Times New Roman"/>
        <w:sz w:val="20"/>
      </w:rPr>
      <w:fldChar w:fldCharType="begin"/>
    </w:r>
    <w:r w:rsidRPr="00014544">
      <w:rPr>
        <w:rFonts w:ascii="Times New Roman" w:hAnsi="Times New Roman"/>
        <w:sz w:val="20"/>
      </w:rPr>
      <w:instrText xml:space="preserve"> PAGE   \* MERGEFORMAT </w:instrText>
    </w:r>
    <w:r w:rsidRPr="00014544">
      <w:rPr>
        <w:rFonts w:ascii="Times New Roman" w:hAnsi="Times New Roman"/>
        <w:sz w:val="20"/>
      </w:rPr>
      <w:fldChar w:fldCharType="separate"/>
    </w:r>
    <w:r w:rsidR="001C5ACE">
      <w:rPr>
        <w:rFonts w:ascii="Times New Roman" w:hAnsi="Times New Roman"/>
        <w:noProof/>
        <w:sz w:val="20"/>
      </w:rPr>
      <w:t>1</w:t>
    </w:r>
    <w:r w:rsidRPr="00014544">
      <w:rPr>
        <w:rFonts w:ascii="Times New Roman" w:hAnsi="Times New Roman"/>
        <w:sz w:val="20"/>
      </w:rPr>
      <w:fldChar w:fldCharType="end"/>
    </w:r>
  </w:p>
  <w:p w14:paraId="460C466C" w14:textId="77777777" w:rsidR="00014544" w:rsidRPr="00014544" w:rsidRDefault="00014544" w:rsidP="00014544">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720E" w14:textId="77777777" w:rsidR="00E2022C" w:rsidRDefault="00E2022C">
      <w:r>
        <w:separator/>
      </w:r>
    </w:p>
  </w:footnote>
  <w:footnote w:type="continuationSeparator" w:id="0">
    <w:p w14:paraId="31B2522E" w14:textId="77777777" w:rsidR="00E2022C" w:rsidRDefault="00E2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4538" w14:textId="77777777" w:rsidR="00C47240" w:rsidRPr="00014544" w:rsidRDefault="00C47240" w:rsidP="001C5ACE">
    <w:pPr>
      <w:pStyle w:val="Header"/>
      <w:framePr w:wrap="around" w:vAnchor="text" w:hAnchor="margin" w:xAlign="outside" w:y="20"/>
      <w:rPr>
        <w:rStyle w:val="PageNumber"/>
        <w:rFonts w:ascii="Times New Roman" w:hAnsi="Times New Roman"/>
        <w:sz w:val="20"/>
      </w:rPr>
    </w:pPr>
    <w:r w:rsidRPr="00014544">
      <w:rPr>
        <w:rStyle w:val="PageNumber"/>
        <w:rFonts w:ascii="Times New Roman" w:hAnsi="Times New Roman"/>
        <w:sz w:val="20"/>
      </w:rPr>
      <w:fldChar w:fldCharType="begin"/>
    </w:r>
    <w:r w:rsidRPr="00014544">
      <w:rPr>
        <w:rStyle w:val="PageNumber"/>
        <w:rFonts w:ascii="Times New Roman" w:hAnsi="Times New Roman"/>
        <w:sz w:val="20"/>
      </w:rPr>
      <w:instrText xml:space="preserve">PAGE  </w:instrText>
    </w:r>
    <w:r w:rsidRPr="00014544">
      <w:rPr>
        <w:rStyle w:val="PageNumber"/>
        <w:rFonts w:ascii="Times New Roman" w:hAnsi="Times New Roman"/>
        <w:sz w:val="20"/>
      </w:rPr>
      <w:fldChar w:fldCharType="separate"/>
    </w:r>
    <w:r w:rsidR="001C5ACE">
      <w:rPr>
        <w:rStyle w:val="PageNumber"/>
        <w:rFonts w:ascii="Times New Roman" w:hAnsi="Times New Roman"/>
        <w:noProof/>
        <w:sz w:val="20"/>
      </w:rPr>
      <w:t>12</w:t>
    </w:r>
    <w:r w:rsidRPr="00014544">
      <w:rPr>
        <w:rStyle w:val="PageNumber"/>
        <w:rFonts w:ascii="Times New Roman" w:hAnsi="Times New Roman"/>
        <w:sz w:val="20"/>
      </w:rPr>
      <w:fldChar w:fldCharType="end"/>
    </w:r>
  </w:p>
  <w:p w14:paraId="2B5648BE" w14:textId="77777777" w:rsidR="00C47240" w:rsidRPr="00014544" w:rsidRDefault="00C47240" w:rsidP="00014544">
    <w:pPr>
      <w:pStyle w:val="Header"/>
      <w:ind w:left="720" w:right="360"/>
      <w:jc w:val="center"/>
      <w:rPr>
        <w:rFonts w:ascii="Times New Roman" w:hAnsi="Times New Roman"/>
        <w:smallCaps/>
        <w:sz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D92F" w14:textId="77777777" w:rsidR="00014544" w:rsidRPr="00014544" w:rsidRDefault="001F32A1" w:rsidP="001F32A1">
    <w:pPr>
      <w:pStyle w:val="Header"/>
      <w:tabs>
        <w:tab w:val="clear" w:pos="4252"/>
        <w:tab w:val="clear" w:pos="8504"/>
      </w:tabs>
      <w:jc w:val="right"/>
      <w:rPr>
        <w:rFonts w:ascii="Times New Roman" w:hAnsi="Times New Roman"/>
        <w:sz w:val="20"/>
      </w:rPr>
    </w:pPr>
    <w:r>
      <w:rPr>
        <w:rFonts w:ascii="Times New Roman" w:hAnsi="Times New Roman"/>
        <w:sz w:val="20"/>
      </w:rPr>
      <w:t xml:space="preserve">             </w:t>
    </w:r>
    <w:r w:rsidR="00014544" w:rsidRPr="00014544">
      <w:rPr>
        <w:rFonts w:ascii="Times New Roman" w:hAnsi="Times New Roman"/>
        <w:sz w:val="20"/>
      </w:rPr>
      <w:fldChar w:fldCharType="begin"/>
    </w:r>
    <w:r w:rsidR="00014544" w:rsidRPr="00014544">
      <w:rPr>
        <w:rFonts w:ascii="Times New Roman" w:hAnsi="Times New Roman"/>
        <w:sz w:val="20"/>
      </w:rPr>
      <w:instrText xml:space="preserve"> PAGE   \* MERGEFORMAT </w:instrText>
    </w:r>
    <w:r w:rsidR="00014544" w:rsidRPr="00014544">
      <w:rPr>
        <w:rFonts w:ascii="Times New Roman" w:hAnsi="Times New Roman"/>
        <w:sz w:val="20"/>
      </w:rPr>
      <w:fldChar w:fldCharType="separate"/>
    </w:r>
    <w:r w:rsidR="001C5ACE">
      <w:rPr>
        <w:rFonts w:ascii="Times New Roman" w:hAnsi="Times New Roman"/>
        <w:noProof/>
        <w:sz w:val="20"/>
      </w:rPr>
      <w:t>13</w:t>
    </w:r>
    <w:r w:rsidR="00014544" w:rsidRPr="00014544">
      <w:rPr>
        <w:rFonts w:ascii="Times New Roman" w:hAnsi="Times New Roman"/>
        <w:sz w:val="20"/>
      </w:rPr>
      <w:fldChar w:fldCharType="end"/>
    </w:r>
  </w:p>
  <w:p w14:paraId="78D38E14" w14:textId="77777777" w:rsidR="00C47240" w:rsidRDefault="00C47240">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424"/>
    <w:multiLevelType w:val="hybridMultilevel"/>
    <w:tmpl w:val="51B4C80C"/>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24214EC3"/>
    <w:multiLevelType w:val="hybridMultilevel"/>
    <w:tmpl w:val="CA7223E8"/>
    <w:lvl w:ilvl="0" w:tplc="16900F2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C87484A"/>
    <w:multiLevelType w:val="singleLevel"/>
    <w:tmpl w:val="F01E5FC2"/>
    <w:lvl w:ilvl="0">
      <w:start w:val="1"/>
      <w:numFmt w:val="decimal"/>
      <w:lvlText w:val="[%1] "/>
      <w:legacy w:legacy="1" w:legacySpace="0" w:legacyIndent="465"/>
      <w:lvlJc w:val="left"/>
      <w:pPr>
        <w:ind w:left="465" w:hanging="465"/>
      </w:pPr>
      <w:rPr>
        <w:rFonts w:ascii="Times New Roman" w:hAnsi="Times New Roman" w:hint="default"/>
        <w:b w:val="0"/>
        <w:i w:val="0"/>
        <w:sz w:val="21"/>
        <w:u w:val="none"/>
      </w:rPr>
    </w:lvl>
  </w:abstractNum>
  <w:abstractNum w:abstractNumId="3" w15:restartNumberingAfterBreak="0">
    <w:nsid w:val="59A721F5"/>
    <w:multiLevelType w:val="hybridMultilevel"/>
    <w:tmpl w:val="2E7A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F16F4"/>
    <w:multiLevelType w:val="hybridMultilevel"/>
    <w:tmpl w:val="81FABE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1790FE3"/>
    <w:multiLevelType w:val="hybridMultilevel"/>
    <w:tmpl w:val="B16AC288"/>
    <w:lvl w:ilvl="0" w:tplc="22848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44"/>
    <w:rsid w:val="00014544"/>
    <w:rsid w:val="000A7AB6"/>
    <w:rsid w:val="000E5506"/>
    <w:rsid w:val="00175A7B"/>
    <w:rsid w:val="0018046E"/>
    <w:rsid w:val="001C2A3A"/>
    <w:rsid w:val="001C4E5C"/>
    <w:rsid w:val="001C5ACE"/>
    <w:rsid w:val="001E43FC"/>
    <w:rsid w:val="001F32A1"/>
    <w:rsid w:val="001F39B6"/>
    <w:rsid w:val="00205394"/>
    <w:rsid w:val="002A0C15"/>
    <w:rsid w:val="002D290C"/>
    <w:rsid w:val="002F2744"/>
    <w:rsid w:val="00316C87"/>
    <w:rsid w:val="00342AEB"/>
    <w:rsid w:val="0034671D"/>
    <w:rsid w:val="00372B62"/>
    <w:rsid w:val="00377C1F"/>
    <w:rsid w:val="003C7FEE"/>
    <w:rsid w:val="003E092C"/>
    <w:rsid w:val="003E4FFB"/>
    <w:rsid w:val="003F2662"/>
    <w:rsid w:val="00446C29"/>
    <w:rsid w:val="0046177F"/>
    <w:rsid w:val="004B5FD1"/>
    <w:rsid w:val="004E1C4C"/>
    <w:rsid w:val="004F0D71"/>
    <w:rsid w:val="005723B1"/>
    <w:rsid w:val="005E7CD9"/>
    <w:rsid w:val="00615652"/>
    <w:rsid w:val="00675AA5"/>
    <w:rsid w:val="00693320"/>
    <w:rsid w:val="006E37BC"/>
    <w:rsid w:val="006E5982"/>
    <w:rsid w:val="006F0C54"/>
    <w:rsid w:val="00707C84"/>
    <w:rsid w:val="007230D6"/>
    <w:rsid w:val="007B3E6E"/>
    <w:rsid w:val="007C6BFA"/>
    <w:rsid w:val="0092021A"/>
    <w:rsid w:val="00930C93"/>
    <w:rsid w:val="00931EC8"/>
    <w:rsid w:val="00947922"/>
    <w:rsid w:val="0095548C"/>
    <w:rsid w:val="00A02155"/>
    <w:rsid w:val="00A26505"/>
    <w:rsid w:val="00AC634A"/>
    <w:rsid w:val="00AE7CC7"/>
    <w:rsid w:val="00AF1FA7"/>
    <w:rsid w:val="00B207B3"/>
    <w:rsid w:val="00B455BF"/>
    <w:rsid w:val="00B66B76"/>
    <w:rsid w:val="00B77FA4"/>
    <w:rsid w:val="00C47240"/>
    <w:rsid w:val="00C63D03"/>
    <w:rsid w:val="00CB42CD"/>
    <w:rsid w:val="00CC3304"/>
    <w:rsid w:val="00CE107F"/>
    <w:rsid w:val="00CE5858"/>
    <w:rsid w:val="00D13494"/>
    <w:rsid w:val="00D205EB"/>
    <w:rsid w:val="00D86548"/>
    <w:rsid w:val="00DE321F"/>
    <w:rsid w:val="00E1467C"/>
    <w:rsid w:val="00E2022C"/>
    <w:rsid w:val="00E43854"/>
    <w:rsid w:val="00EB68EF"/>
    <w:rsid w:val="00EE33AE"/>
    <w:rsid w:val="00F04201"/>
    <w:rsid w:val="00F20F09"/>
    <w:rsid w:val="00F40E02"/>
    <w:rsid w:val="00FC72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05529"/>
  <w15:chartTrackingRefBased/>
  <w15:docId w15:val="{1E65CDFE-F087-E342-86D9-D44E3FFB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ID"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alloonText">
    <w:name w:val="Balloon Text"/>
    <w:basedOn w:val="Normal"/>
    <w:semiHidden/>
    <w:rPr>
      <w:rFonts w:ascii="Arial" w:eastAsia="MS Gothic" w:hAnsi="Arial"/>
      <w:sz w:val="18"/>
      <w:szCs w:val="18"/>
    </w:rPr>
  </w:style>
  <w:style w:type="character" w:styleId="PageNumber">
    <w:name w:val="page number"/>
    <w:basedOn w:val="DefaultParagraphFont"/>
  </w:style>
  <w:style w:type="paragraph" w:styleId="PlainText">
    <w:name w:val="Plain Text"/>
    <w:basedOn w:val="Normal"/>
    <w:rPr>
      <w:rFonts w:ascii="MS Mincho" w:hAnsi="Courier New" w:cs="Courier New"/>
      <w:szCs w:val="21"/>
    </w:rPr>
  </w:style>
  <w:style w:type="character" w:styleId="Hyperlink">
    <w:name w:val="Hyperlink"/>
    <w:rPr>
      <w:color w:val="0000FF"/>
      <w:u w:val="single"/>
    </w:rPr>
  </w:style>
  <w:style w:type="paragraph" w:styleId="NoSpacing">
    <w:name w:val="No Spacing"/>
    <w:uiPriority w:val="1"/>
    <w:qFormat/>
    <w:rsid w:val="00A26505"/>
    <w:rPr>
      <w:rFonts w:ascii="Calibri" w:eastAsia="Times New Roman" w:hAnsi="Calibri"/>
      <w:sz w:val="22"/>
      <w:szCs w:val="22"/>
      <w:lang w:val="en-IN" w:eastAsia="en-IN"/>
    </w:rPr>
  </w:style>
  <w:style w:type="paragraph" w:customStyle="1" w:styleId="TAMainText">
    <w:name w:val="TA_Main_Text"/>
    <w:basedOn w:val="Normal"/>
    <w:link w:val="TAMainTextChar"/>
    <w:rsid w:val="0034671D"/>
    <w:pPr>
      <w:widowControl/>
      <w:spacing w:line="220" w:lineRule="exact"/>
      <w:ind w:firstLine="187"/>
    </w:pPr>
    <w:rPr>
      <w:rFonts w:ascii="Times" w:eastAsia="Times New Roman" w:hAnsi="Times"/>
      <w:kern w:val="0"/>
      <w:sz w:val="18"/>
      <w:szCs w:val="20"/>
      <w:lang w:eastAsia="en-US"/>
    </w:rPr>
  </w:style>
  <w:style w:type="character" w:customStyle="1" w:styleId="TAMainTextChar">
    <w:name w:val="TA_Main_Text Char"/>
    <w:link w:val="TAMainText"/>
    <w:rsid w:val="0034671D"/>
    <w:rPr>
      <w:rFonts w:ascii="Times" w:eastAsia="Times New Roman" w:hAnsi="Times"/>
      <w:sz w:val="18"/>
      <w:lang w:val="en-US" w:eastAsia="en-US"/>
    </w:rPr>
  </w:style>
  <w:style w:type="character" w:customStyle="1" w:styleId="FooterChar">
    <w:name w:val="Footer Char"/>
    <w:link w:val="Footer"/>
    <w:uiPriority w:val="99"/>
    <w:rsid w:val="00014544"/>
    <w:rPr>
      <w:kern w:val="2"/>
      <w:sz w:val="21"/>
      <w:szCs w:val="24"/>
      <w:lang w:val="en-US" w:eastAsia="ja-JP"/>
    </w:rPr>
  </w:style>
  <w:style w:type="character" w:customStyle="1" w:styleId="HeaderChar">
    <w:name w:val="Header Char"/>
    <w:link w:val="Header"/>
    <w:uiPriority w:val="99"/>
    <w:rsid w:val="00014544"/>
    <w:rPr>
      <w:kern w:val="2"/>
      <w:sz w:val="21"/>
      <w:szCs w:val="24"/>
      <w:lang w:val="en-US" w:eastAsia="ja-JP"/>
    </w:rPr>
  </w:style>
  <w:style w:type="character" w:styleId="UnresolvedMention">
    <w:name w:val="Unresolved Mention"/>
    <w:uiPriority w:val="99"/>
    <w:semiHidden/>
    <w:unhideWhenUsed/>
    <w:rsid w:val="006E37BC"/>
    <w:rPr>
      <w:color w:val="605E5C"/>
      <w:shd w:val="clear" w:color="auto" w:fill="E1DFDD"/>
    </w:rPr>
  </w:style>
  <w:style w:type="paragraph" w:styleId="ListParagraph">
    <w:name w:val="List Paragraph"/>
    <w:basedOn w:val="Normal"/>
    <w:uiPriority w:val="34"/>
    <w:qFormat/>
    <w:rsid w:val="003E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stinus.wijaya@uksw.edu"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zty.nour@is.uad.ac.id"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Mursid\Documents\TA\Cobit2019_Diskominfo.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Mursid\Documents\TA\Cobit2019_Diskominfo.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ursid\Documents\TA\Cobit2019_Diskominfo.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ursid\Documents\TA\Cobit2019_Diskominfo.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1"/>
          <c:dPt>
            <c:idx val="0"/>
            <c:invertIfNegative val="1"/>
            <c:bubble3D val="0"/>
            <c:spPr>
              <a:solidFill>
                <a:schemeClr val="accent1"/>
              </a:solidFill>
              <a:ln>
                <a:noFill/>
              </a:ln>
              <a:effectLst/>
            </c:spPr>
            <c:extLst>
              <c:ext xmlns:c16="http://schemas.microsoft.com/office/drawing/2014/chart" uri="{C3380CC4-5D6E-409C-BE32-E72D297353CC}">
                <c16:uniqueId val="{00000001-8CDA-44ED-ADCA-4C03F84209BF}"/>
              </c:ext>
            </c:extLst>
          </c:dPt>
          <c:dPt>
            <c:idx val="1"/>
            <c:invertIfNegative val="1"/>
            <c:bubble3D val="0"/>
            <c:spPr>
              <a:solidFill>
                <a:schemeClr val="accent2"/>
              </a:solidFill>
              <a:ln>
                <a:noFill/>
              </a:ln>
              <a:effectLst/>
            </c:spPr>
            <c:extLst>
              <c:ext xmlns:c16="http://schemas.microsoft.com/office/drawing/2014/chart" uri="{C3380CC4-5D6E-409C-BE32-E72D297353CC}">
                <c16:uniqueId val="{00000003-8CDA-44ED-ADCA-4C03F84209BF}"/>
              </c:ext>
            </c:extLst>
          </c:dPt>
          <c:dPt>
            <c:idx val="2"/>
            <c:invertIfNegative val="1"/>
            <c:bubble3D val="0"/>
            <c:spPr>
              <a:solidFill>
                <a:schemeClr val="accent3"/>
              </a:solidFill>
              <a:ln>
                <a:noFill/>
              </a:ln>
              <a:effectLst/>
            </c:spPr>
            <c:extLst>
              <c:ext xmlns:c16="http://schemas.microsoft.com/office/drawing/2014/chart" uri="{C3380CC4-5D6E-409C-BE32-E72D297353CC}">
                <c16:uniqueId val="{00000005-8CDA-44ED-ADCA-4C03F84209BF}"/>
              </c:ext>
            </c:extLst>
          </c:dPt>
          <c:dPt>
            <c:idx val="3"/>
            <c:invertIfNegative val="1"/>
            <c:bubble3D val="0"/>
            <c:spPr>
              <a:solidFill>
                <a:schemeClr val="accent4"/>
              </a:solidFill>
              <a:ln>
                <a:noFill/>
              </a:ln>
              <a:effectLst/>
            </c:spPr>
            <c:extLst>
              <c:ext xmlns:c16="http://schemas.microsoft.com/office/drawing/2014/chart" uri="{C3380CC4-5D6E-409C-BE32-E72D297353CC}">
                <c16:uniqueId val="{00000007-8CDA-44ED-ADCA-4C03F84209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'DF1'!$A$7:$C$10</c:f>
              <c:strCache>
                <c:ptCount val="4"/>
                <c:pt idx="0">
                  <c:v>Growth/Acquisition</c:v>
                </c:pt>
                <c:pt idx="1">
                  <c:v>Innovation/Differentiation</c:v>
                </c:pt>
                <c:pt idx="2">
                  <c:v>Cost Leadership</c:v>
                </c:pt>
                <c:pt idx="3">
                  <c:v>Client Service/Stability</c:v>
                </c:pt>
              </c:strCache>
            </c:strRef>
          </c:cat>
          <c:val>
            <c:numRef>
              <c:f>'DF1'!$D$7:$D$10</c:f>
              <c:numCache>
                <c:formatCode>0</c:formatCode>
                <c:ptCount val="4"/>
                <c:pt idx="0">
                  <c:v>4</c:v>
                </c:pt>
                <c:pt idx="1">
                  <c:v>3</c:v>
                </c:pt>
                <c:pt idx="2">
                  <c:v>1</c:v>
                </c:pt>
                <c:pt idx="3">
                  <c:v>5</c:v>
                </c:pt>
              </c:numCache>
            </c:numRef>
          </c:val>
          <c:extLst>
            <c:ext xmlns:c16="http://schemas.microsoft.com/office/drawing/2014/chart" uri="{C3380CC4-5D6E-409C-BE32-E72D297353CC}">
              <c16:uniqueId val="{00000008-8CDA-44ED-ADCA-4C03F84209BF}"/>
            </c:ext>
          </c:extLst>
        </c:ser>
        <c:dLbls>
          <c:dLblPos val="outEnd"/>
          <c:showLegendKey val="0"/>
          <c:showVal val="1"/>
          <c:showCatName val="0"/>
          <c:showSerName val="0"/>
          <c:showPercent val="0"/>
          <c:showBubbleSize val="0"/>
        </c:dLbls>
        <c:gapWidth val="182"/>
        <c:axId val="129869696"/>
        <c:axId val="129871232"/>
      </c:barChart>
      <c:catAx>
        <c:axId val="129869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871232"/>
        <c:crosses val="autoZero"/>
        <c:auto val="1"/>
        <c:lblAlgn val="ctr"/>
        <c:lblOffset val="100"/>
        <c:noMultiLvlLbl val="1"/>
      </c:catAx>
      <c:valAx>
        <c:axId val="129871232"/>
        <c:scaling>
          <c:orientation val="minMax"/>
          <c:max val="5"/>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86969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FC-4D13-8067-AE0E963C77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FC-4D13-8067-AE0E963C77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FC-4D13-8067-AE0E963C77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'DF10'!$A$6:$A$8</c:f>
              <c:strCache>
                <c:ptCount val="3"/>
                <c:pt idx="0">
                  <c:v>First mover</c:v>
                </c:pt>
                <c:pt idx="1">
                  <c:v>Follower</c:v>
                </c:pt>
                <c:pt idx="2">
                  <c:v>Slow adopter</c:v>
                </c:pt>
              </c:strCache>
            </c:strRef>
          </c:cat>
          <c:val>
            <c:numRef>
              <c:f>'DF10'!$B$6:$B$8</c:f>
              <c:numCache>
                <c:formatCode>0%</c:formatCode>
                <c:ptCount val="3"/>
                <c:pt idx="0">
                  <c:v>0.2</c:v>
                </c:pt>
                <c:pt idx="1">
                  <c:v>0.5</c:v>
                </c:pt>
                <c:pt idx="2">
                  <c:v>0.30000000000000016</c:v>
                </c:pt>
              </c:numCache>
            </c:numRef>
          </c:val>
          <c:extLst>
            <c:ext xmlns:c16="http://schemas.microsoft.com/office/drawing/2014/chart" uri="{C3380CC4-5D6E-409C-BE32-E72D297353CC}">
              <c16:uniqueId val="{00000006-02FC-4D13-8067-AE0E963C7765}"/>
            </c:ext>
          </c:extLst>
        </c:ser>
        <c:dLbls>
          <c:showLegendKey val="1"/>
          <c:showVal val="1"/>
          <c:showCatName val="1"/>
          <c:showSerName val="1"/>
          <c:showPercent val="1"/>
          <c:showBubbleSize val="1"/>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68482133207983E-2"/>
          <c:y val="0.13949997646319426"/>
          <c:w val="0.86969669966308483"/>
          <c:h val="0.81518747383915835"/>
        </c:manualLayout>
      </c:layout>
      <c:barChart>
        <c:barDir val="bar"/>
        <c:grouping val="clustered"/>
        <c:varyColors val="1"/>
        <c:ser>
          <c:idx val="0"/>
          <c:order val="0"/>
          <c:invertIfNegative val="1"/>
          <c:dPt>
            <c:idx val="0"/>
            <c:invertIfNegative val="1"/>
            <c:bubble3D val="0"/>
            <c:spPr>
              <a:solidFill>
                <a:schemeClr val="accent1"/>
              </a:solidFill>
              <a:ln>
                <a:noFill/>
              </a:ln>
              <a:effectLst/>
            </c:spPr>
            <c:extLst>
              <c:ext xmlns:c16="http://schemas.microsoft.com/office/drawing/2014/chart" uri="{C3380CC4-5D6E-409C-BE32-E72D297353CC}">
                <c16:uniqueId val="{00000001-0BB8-44EB-BF4C-EA7A584A10D6}"/>
              </c:ext>
            </c:extLst>
          </c:dPt>
          <c:dPt>
            <c:idx val="1"/>
            <c:invertIfNegative val="1"/>
            <c:bubble3D val="0"/>
            <c:spPr>
              <a:solidFill>
                <a:schemeClr val="accent2"/>
              </a:solidFill>
              <a:ln>
                <a:noFill/>
              </a:ln>
              <a:effectLst/>
            </c:spPr>
            <c:extLst>
              <c:ext xmlns:c16="http://schemas.microsoft.com/office/drawing/2014/chart" uri="{C3380CC4-5D6E-409C-BE32-E72D297353CC}">
                <c16:uniqueId val="{00000003-0BB8-44EB-BF4C-EA7A584A10D6}"/>
              </c:ext>
            </c:extLst>
          </c:dPt>
          <c:dPt>
            <c:idx val="2"/>
            <c:invertIfNegative val="1"/>
            <c:bubble3D val="0"/>
            <c:spPr>
              <a:solidFill>
                <a:schemeClr val="accent3"/>
              </a:solidFill>
              <a:ln>
                <a:noFill/>
              </a:ln>
              <a:effectLst/>
            </c:spPr>
            <c:extLst>
              <c:ext xmlns:c16="http://schemas.microsoft.com/office/drawing/2014/chart" uri="{C3380CC4-5D6E-409C-BE32-E72D297353CC}">
                <c16:uniqueId val="{00000005-0BB8-44EB-BF4C-EA7A584A10D6}"/>
              </c:ext>
            </c:extLst>
          </c:dPt>
          <c:dPt>
            <c:idx val="3"/>
            <c:invertIfNegative val="1"/>
            <c:bubble3D val="0"/>
            <c:spPr>
              <a:solidFill>
                <a:schemeClr val="accent4"/>
              </a:solidFill>
              <a:ln>
                <a:noFill/>
              </a:ln>
              <a:effectLst/>
            </c:spPr>
            <c:extLst>
              <c:ext xmlns:c16="http://schemas.microsoft.com/office/drawing/2014/chart" uri="{C3380CC4-5D6E-409C-BE32-E72D297353CC}">
                <c16:uniqueId val="{00000007-0BB8-44EB-BF4C-EA7A584A10D6}"/>
              </c:ext>
            </c:extLst>
          </c:dPt>
          <c:dPt>
            <c:idx val="4"/>
            <c:invertIfNegative val="1"/>
            <c:bubble3D val="0"/>
            <c:spPr>
              <a:solidFill>
                <a:schemeClr val="accent5"/>
              </a:solidFill>
              <a:ln>
                <a:noFill/>
              </a:ln>
              <a:effectLst/>
            </c:spPr>
            <c:extLst>
              <c:ext xmlns:c16="http://schemas.microsoft.com/office/drawing/2014/chart" uri="{C3380CC4-5D6E-409C-BE32-E72D297353CC}">
                <c16:uniqueId val="{00000009-0BB8-44EB-BF4C-EA7A584A10D6}"/>
              </c:ext>
            </c:extLst>
          </c:dPt>
          <c:dPt>
            <c:idx val="5"/>
            <c:invertIfNegative val="1"/>
            <c:bubble3D val="0"/>
            <c:spPr>
              <a:solidFill>
                <a:schemeClr val="accent6"/>
              </a:solidFill>
              <a:ln>
                <a:noFill/>
              </a:ln>
              <a:effectLst/>
            </c:spPr>
            <c:extLst>
              <c:ext xmlns:c16="http://schemas.microsoft.com/office/drawing/2014/chart" uri="{C3380CC4-5D6E-409C-BE32-E72D297353CC}">
                <c16:uniqueId val="{0000000B-0BB8-44EB-BF4C-EA7A584A10D6}"/>
              </c:ext>
            </c:extLst>
          </c:dPt>
          <c:dPt>
            <c:idx val="6"/>
            <c:invertIfNegative val="1"/>
            <c:bubble3D val="0"/>
            <c:spPr>
              <a:solidFill>
                <a:schemeClr val="accent1">
                  <a:lumMod val="60000"/>
                </a:schemeClr>
              </a:solidFill>
              <a:ln>
                <a:noFill/>
              </a:ln>
              <a:effectLst/>
            </c:spPr>
            <c:extLst>
              <c:ext xmlns:c16="http://schemas.microsoft.com/office/drawing/2014/chart" uri="{C3380CC4-5D6E-409C-BE32-E72D297353CC}">
                <c16:uniqueId val="{0000000D-0BB8-44EB-BF4C-EA7A584A10D6}"/>
              </c:ext>
            </c:extLst>
          </c:dPt>
          <c:dPt>
            <c:idx val="7"/>
            <c:invertIfNegative val="1"/>
            <c:bubble3D val="0"/>
            <c:spPr>
              <a:solidFill>
                <a:schemeClr val="accent2">
                  <a:lumMod val="60000"/>
                </a:schemeClr>
              </a:solidFill>
              <a:ln>
                <a:noFill/>
              </a:ln>
              <a:effectLst/>
            </c:spPr>
            <c:extLst>
              <c:ext xmlns:c16="http://schemas.microsoft.com/office/drawing/2014/chart" uri="{C3380CC4-5D6E-409C-BE32-E72D297353CC}">
                <c16:uniqueId val="{0000000F-0BB8-44EB-BF4C-EA7A584A10D6}"/>
              </c:ext>
            </c:extLst>
          </c:dPt>
          <c:dPt>
            <c:idx val="8"/>
            <c:invertIfNegative val="1"/>
            <c:bubble3D val="0"/>
            <c:spPr>
              <a:solidFill>
                <a:schemeClr val="accent3">
                  <a:lumMod val="60000"/>
                </a:schemeClr>
              </a:solidFill>
              <a:ln>
                <a:noFill/>
              </a:ln>
              <a:effectLst/>
            </c:spPr>
            <c:extLst>
              <c:ext xmlns:c16="http://schemas.microsoft.com/office/drawing/2014/chart" uri="{C3380CC4-5D6E-409C-BE32-E72D297353CC}">
                <c16:uniqueId val="{00000011-0BB8-44EB-BF4C-EA7A584A10D6}"/>
              </c:ext>
            </c:extLst>
          </c:dPt>
          <c:dPt>
            <c:idx val="9"/>
            <c:invertIfNegative val="1"/>
            <c:bubble3D val="0"/>
            <c:spPr>
              <a:solidFill>
                <a:schemeClr val="accent4">
                  <a:lumMod val="60000"/>
                </a:schemeClr>
              </a:solidFill>
              <a:ln>
                <a:noFill/>
              </a:ln>
              <a:effectLst/>
            </c:spPr>
            <c:extLst>
              <c:ext xmlns:c16="http://schemas.microsoft.com/office/drawing/2014/chart" uri="{C3380CC4-5D6E-409C-BE32-E72D297353CC}">
                <c16:uniqueId val="{00000013-0BB8-44EB-BF4C-EA7A584A10D6}"/>
              </c:ext>
            </c:extLst>
          </c:dPt>
          <c:dPt>
            <c:idx val="10"/>
            <c:invertIfNegative val="1"/>
            <c:bubble3D val="0"/>
            <c:spPr>
              <a:solidFill>
                <a:schemeClr val="accent5">
                  <a:lumMod val="60000"/>
                </a:schemeClr>
              </a:solidFill>
              <a:ln>
                <a:noFill/>
              </a:ln>
              <a:effectLst/>
            </c:spPr>
            <c:extLst>
              <c:ext xmlns:c16="http://schemas.microsoft.com/office/drawing/2014/chart" uri="{C3380CC4-5D6E-409C-BE32-E72D297353CC}">
                <c16:uniqueId val="{00000015-0BB8-44EB-BF4C-EA7A584A10D6}"/>
              </c:ext>
            </c:extLst>
          </c:dPt>
          <c:dPt>
            <c:idx val="11"/>
            <c:invertIfNegative val="1"/>
            <c:bubble3D val="0"/>
            <c:spPr>
              <a:solidFill>
                <a:schemeClr val="accent6">
                  <a:lumMod val="60000"/>
                </a:schemeClr>
              </a:solidFill>
              <a:ln>
                <a:noFill/>
              </a:ln>
              <a:effectLst/>
            </c:spPr>
            <c:extLst>
              <c:ext xmlns:c16="http://schemas.microsoft.com/office/drawing/2014/chart" uri="{C3380CC4-5D6E-409C-BE32-E72D297353CC}">
                <c16:uniqueId val="{00000017-0BB8-44EB-BF4C-EA7A584A10D6}"/>
              </c:ext>
            </c:extLst>
          </c:dPt>
          <c:dPt>
            <c:idx val="12"/>
            <c:invertIfNegative val="1"/>
            <c:bubble3D val="0"/>
            <c:spPr>
              <a:solidFill>
                <a:schemeClr val="accent1">
                  <a:lumMod val="80000"/>
                  <a:lumOff val="20000"/>
                </a:schemeClr>
              </a:solidFill>
              <a:ln>
                <a:noFill/>
              </a:ln>
              <a:effectLst/>
            </c:spPr>
            <c:extLst>
              <c:ext xmlns:c16="http://schemas.microsoft.com/office/drawing/2014/chart" uri="{C3380CC4-5D6E-409C-BE32-E72D297353CC}">
                <c16:uniqueId val="{00000019-0BB8-44EB-BF4C-EA7A584A10D6}"/>
              </c:ext>
            </c:extLst>
          </c:dPt>
          <c:dPt>
            <c:idx val="13"/>
            <c:invertIfNegative val="1"/>
            <c:bubble3D val="0"/>
            <c:spPr>
              <a:solidFill>
                <a:schemeClr val="accent2">
                  <a:lumMod val="80000"/>
                  <a:lumOff val="20000"/>
                </a:schemeClr>
              </a:solidFill>
              <a:ln>
                <a:noFill/>
              </a:ln>
              <a:effectLst/>
            </c:spPr>
            <c:extLst>
              <c:ext xmlns:c16="http://schemas.microsoft.com/office/drawing/2014/chart" uri="{C3380CC4-5D6E-409C-BE32-E72D297353CC}">
                <c16:uniqueId val="{0000001B-0BB8-44EB-BF4C-EA7A584A10D6}"/>
              </c:ext>
            </c:extLst>
          </c:dPt>
          <c:dPt>
            <c:idx val="14"/>
            <c:invertIfNegative val="1"/>
            <c:bubble3D val="0"/>
            <c:spPr>
              <a:solidFill>
                <a:schemeClr val="accent3">
                  <a:lumMod val="80000"/>
                  <a:lumOff val="20000"/>
                </a:schemeClr>
              </a:solidFill>
              <a:ln>
                <a:noFill/>
              </a:ln>
              <a:effectLst/>
            </c:spPr>
            <c:extLst>
              <c:ext xmlns:c16="http://schemas.microsoft.com/office/drawing/2014/chart" uri="{C3380CC4-5D6E-409C-BE32-E72D297353CC}">
                <c16:uniqueId val="{0000001D-0BB8-44EB-BF4C-EA7A584A10D6}"/>
              </c:ext>
            </c:extLst>
          </c:dPt>
          <c:dPt>
            <c:idx val="15"/>
            <c:invertIfNegative val="1"/>
            <c:bubble3D val="0"/>
            <c:spPr>
              <a:solidFill>
                <a:schemeClr val="accent4">
                  <a:lumMod val="80000"/>
                  <a:lumOff val="20000"/>
                </a:schemeClr>
              </a:solidFill>
              <a:ln>
                <a:noFill/>
              </a:ln>
              <a:effectLst/>
            </c:spPr>
            <c:extLst>
              <c:ext xmlns:c16="http://schemas.microsoft.com/office/drawing/2014/chart" uri="{C3380CC4-5D6E-409C-BE32-E72D297353CC}">
                <c16:uniqueId val="{0000001F-0BB8-44EB-BF4C-EA7A584A10D6}"/>
              </c:ext>
            </c:extLst>
          </c:dPt>
          <c:dPt>
            <c:idx val="16"/>
            <c:invertIfNegative val="1"/>
            <c:bubble3D val="0"/>
            <c:spPr>
              <a:solidFill>
                <a:schemeClr val="accent5">
                  <a:lumMod val="80000"/>
                  <a:lumOff val="20000"/>
                </a:schemeClr>
              </a:solidFill>
              <a:ln>
                <a:noFill/>
              </a:ln>
              <a:effectLst/>
            </c:spPr>
            <c:extLst>
              <c:ext xmlns:c16="http://schemas.microsoft.com/office/drawing/2014/chart" uri="{C3380CC4-5D6E-409C-BE32-E72D297353CC}">
                <c16:uniqueId val="{00000021-0BB8-44EB-BF4C-EA7A584A10D6}"/>
              </c:ext>
            </c:extLst>
          </c:dPt>
          <c:dPt>
            <c:idx val="17"/>
            <c:invertIfNegative val="1"/>
            <c:bubble3D val="0"/>
            <c:spPr>
              <a:solidFill>
                <a:schemeClr val="accent6">
                  <a:lumMod val="80000"/>
                  <a:lumOff val="20000"/>
                </a:schemeClr>
              </a:solidFill>
              <a:ln>
                <a:noFill/>
              </a:ln>
              <a:effectLst/>
            </c:spPr>
            <c:extLst>
              <c:ext xmlns:c16="http://schemas.microsoft.com/office/drawing/2014/chart" uri="{C3380CC4-5D6E-409C-BE32-E72D297353CC}">
                <c16:uniqueId val="{00000023-0BB8-44EB-BF4C-EA7A584A10D6}"/>
              </c:ext>
            </c:extLst>
          </c:dPt>
          <c:dPt>
            <c:idx val="18"/>
            <c:invertIfNegative val="1"/>
            <c:bubble3D val="0"/>
            <c:spPr>
              <a:solidFill>
                <a:schemeClr val="accent1">
                  <a:lumMod val="80000"/>
                </a:schemeClr>
              </a:solidFill>
              <a:ln>
                <a:noFill/>
              </a:ln>
              <a:effectLst/>
            </c:spPr>
            <c:extLst>
              <c:ext xmlns:c16="http://schemas.microsoft.com/office/drawing/2014/chart" uri="{C3380CC4-5D6E-409C-BE32-E72D297353CC}">
                <c16:uniqueId val="{00000025-0BB8-44EB-BF4C-EA7A584A10D6}"/>
              </c:ext>
            </c:extLst>
          </c:dPt>
          <c:dPt>
            <c:idx val="19"/>
            <c:invertIfNegative val="1"/>
            <c:bubble3D val="0"/>
            <c:spPr>
              <a:solidFill>
                <a:schemeClr val="accent2">
                  <a:lumMod val="80000"/>
                </a:schemeClr>
              </a:solidFill>
              <a:ln>
                <a:noFill/>
              </a:ln>
              <a:effectLst/>
            </c:spPr>
            <c:extLst>
              <c:ext xmlns:c16="http://schemas.microsoft.com/office/drawing/2014/chart" uri="{C3380CC4-5D6E-409C-BE32-E72D297353CC}">
                <c16:uniqueId val="{00000027-0BB8-44EB-BF4C-EA7A584A10D6}"/>
              </c:ext>
            </c:extLst>
          </c:dPt>
          <c:dPt>
            <c:idx val="20"/>
            <c:invertIfNegative val="1"/>
            <c:bubble3D val="0"/>
            <c:spPr>
              <a:solidFill>
                <a:schemeClr val="accent3">
                  <a:lumMod val="80000"/>
                </a:schemeClr>
              </a:solidFill>
              <a:ln>
                <a:noFill/>
              </a:ln>
              <a:effectLst/>
            </c:spPr>
            <c:extLst>
              <c:ext xmlns:c16="http://schemas.microsoft.com/office/drawing/2014/chart" uri="{C3380CC4-5D6E-409C-BE32-E72D297353CC}">
                <c16:uniqueId val="{00000029-0BB8-44EB-BF4C-EA7A584A10D6}"/>
              </c:ext>
            </c:extLst>
          </c:dPt>
          <c:dPt>
            <c:idx val="21"/>
            <c:invertIfNegative val="1"/>
            <c:bubble3D val="0"/>
            <c:spPr>
              <a:solidFill>
                <a:schemeClr val="accent4">
                  <a:lumMod val="80000"/>
                </a:schemeClr>
              </a:solidFill>
              <a:ln>
                <a:noFill/>
              </a:ln>
              <a:effectLst/>
            </c:spPr>
            <c:extLst>
              <c:ext xmlns:c16="http://schemas.microsoft.com/office/drawing/2014/chart" uri="{C3380CC4-5D6E-409C-BE32-E72D297353CC}">
                <c16:uniqueId val="{0000002B-0BB8-44EB-BF4C-EA7A584A10D6}"/>
              </c:ext>
            </c:extLst>
          </c:dPt>
          <c:dPt>
            <c:idx val="22"/>
            <c:invertIfNegative val="1"/>
            <c:bubble3D val="0"/>
            <c:spPr>
              <a:solidFill>
                <a:schemeClr val="accent5">
                  <a:lumMod val="80000"/>
                </a:schemeClr>
              </a:solidFill>
              <a:ln>
                <a:noFill/>
              </a:ln>
              <a:effectLst/>
            </c:spPr>
            <c:extLst>
              <c:ext xmlns:c16="http://schemas.microsoft.com/office/drawing/2014/chart" uri="{C3380CC4-5D6E-409C-BE32-E72D297353CC}">
                <c16:uniqueId val="{0000002D-0BB8-44EB-BF4C-EA7A584A10D6}"/>
              </c:ext>
            </c:extLst>
          </c:dPt>
          <c:dPt>
            <c:idx val="23"/>
            <c:invertIfNegative val="1"/>
            <c:bubble3D val="0"/>
            <c:spPr>
              <a:solidFill>
                <a:schemeClr val="accent6">
                  <a:lumMod val="80000"/>
                </a:schemeClr>
              </a:solidFill>
              <a:ln>
                <a:noFill/>
              </a:ln>
              <a:effectLst/>
            </c:spPr>
            <c:extLst>
              <c:ext xmlns:c16="http://schemas.microsoft.com/office/drawing/2014/chart" uri="{C3380CC4-5D6E-409C-BE32-E72D297353CC}">
                <c16:uniqueId val="{0000002F-0BB8-44EB-BF4C-EA7A584A10D6}"/>
              </c:ext>
            </c:extLst>
          </c:dPt>
          <c:dPt>
            <c:idx val="24"/>
            <c:invertIfNegative val="1"/>
            <c:bubble3D val="0"/>
            <c:spPr>
              <a:solidFill>
                <a:schemeClr val="accent1">
                  <a:lumMod val="60000"/>
                  <a:lumOff val="40000"/>
                </a:schemeClr>
              </a:solidFill>
              <a:ln>
                <a:noFill/>
              </a:ln>
              <a:effectLst/>
            </c:spPr>
            <c:extLst>
              <c:ext xmlns:c16="http://schemas.microsoft.com/office/drawing/2014/chart" uri="{C3380CC4-5D6E-409C-BE32-E72D297353CC}">
                <c16:uniqueId val="{00000031-0BB8-44EB-BF4C-EA7A584A10D6}"/>
              </c:ext>
            </c:extLst>
          </c:dPt>
          <c:dPt>
            <c:idx val="25"/>
            <c:invertIfNegative val="1"/>
            <c:bubble3D val="0"/>
            <c:spPr>
              <a:solidFill>
                <a:schemeClr val="accent2">
                  <a:lumMod val="60000"/>
                  <a:lumOff val="40000"/>
                </a:schemeClr>
              </a:solidFill>
              <a:ln>
                <a:noFill/>
              </a:ln>
              <a:effectLst/>
            </c:spPr>
            <c:extLst>
              <c:ext xmlns:c16="http://schemas.microsoft.com/office/drawing/2014/chart" uri="{C3380CC4-5D6E-409C-BE32-E72D297353CC}">
                <c16:uniqueId val="{00000033-0BB8-44EB-BF4C-EA7A584A10D6}"/>
              </c:ext>
            </c:extLst>
          </c:dPt>
          <c:dPt>
            <c:idx val="26"/>
            <c:invertIfNegative val="1"/>
            <c:bubble3D val="0"/>
            <c:spPr>
              <a:solidFill>
                <a:schemeClr val="accent3">
                  <a:lumMod val="60000"/>
                  <a:lumOff val="40000"/>
                </a:schemeClr>
              </a:solidFill>
              <a:ln>
                <a:noFill/>
              </a:ln>
              <a:effectLst/>
            </c:spPr>
            <c:extLst>
              <c:ext xmlns:c16="http://schemas.microsoft.com/office/drawing/2014/chart" uri="{C3380CC4-5D6E-409C-BE32-E72D297353CC}">
                <c16:uniqueId val="{00000035-0BB8-44EB-BF4C-EA7A584A10D6}"/>
              </c:ext>
            </c:extLst>
          </c:dPt>
          <c:dPt>
            <c:idx val="27"/>
            <c:invertIfNegative val="1"/>
            <c:bubble3D val="0"/>
            <c:spPr>
              <a:solidFill>
                <a:schemeClr val="accent4">
                  <a:lumMod val="60000"/>
                  <a:lumOff val="40000"/>
                </a:schemeClr>
              </a:solidFill>
              <a:ln>
                <a:noFill/>
              </a:ln>
              <a:effectLst/>
            </c:spPr>
            <c:extLst>
              <c:ext xmlns:c16="http://schemas.microsoft.com/office/drawing/2014/chart" uri="{C3380CC4-5D6E-409C-BE32-E72D297353CC}">
                <c16:uniqueId val="{00000037-0BB8-44EB-BF4C-EA7A584A10D6}"/>
              </c:ext>
            </c:extLst>
          </c:dPt>
          <c:dPt>
            <c:idx val="28"/>
            <c:invertIfNegative val="1"/>
            <c:bubble3D val="0"/>
            <c:spPr>
              <a:solidFill>
                <a:schemeClr val="accent5">
                  <a:lumMod val="60000"/>
                  <a:lumOff val="40000"/>
                </a:schemeClr>
              </a:solidFill>
              <a:ln>
                <a:noFill/>
              </a:ln>
              <a:effectLst/>
            </c:spPr>
            <c:extLst>
              <c:ext xmlns:c16="http://schemas.microsoft.com/office/drawing/2014/chart" uri="{C3380CC4-5D6E-409C-BE32-E72D297353CC}">
                <c16:uniqueId val="{00000039-0BB8-44EB-BF4C-EA7A584A10D6}"/>
              </c:ext>
            </c:extLst>
          </c:dPt>
          <c:dPt>
            <c:idx val="29"/>
            <c:invertIfNegative val="1"/>
            <c:bubble3D val="0"/>
            <c:spPr>
              <a:solidFill>
                <a:schemeClr val="accent6">
                  <a:lumMod val="60000"/>
                  <a:lumOff val="40000"/>
                </a:schemeClr>
              </a:solidFill>
              <a:ln>
                <a:noFill/>
              </a:ln>
              <a:effectLst/>
            </c:spPr>
            <c:extLst>
              <c:ext xmlns:c16="http://schemas.microsoft.com/office/drawing/2014/chart" uri="{C3380CC4-5D6E-409C-BE32-E72D297353CC}">
                <c16:uniqueId val="{0000003B-0BB8-44EB-BF4C-EA7A584A10D6}"/>
              </c:ext>
            </c:extLst>
          </c:dPt>
          <c:dPt>
            <c:idx val="30"/>
            <c:invertIfNegative val="1"/>
            <c:bubble3D val="0"/>
            <c:spPr>
              <a:solidFill>
                <a:schemeClr val="accent1">
                  <a:lumMod val="50000"/>
                </a:schemeClr>
              </a:solidFill>
              <a:ln>
                <a:noFill/>
              </a:ln>
              <a:effectLst/>
            </c:spPr>
            <c:extLst>
              <c:ext xmlns:c16="http://schemas.microsoft.com/office/drawing/2014/chart" uri="{C3380CC4-5D6E-409C-BE32-E72D297353CC}">
                <c16:uniqueId val="{0000003D-0BB8-44EB-BF4C-EA7A584A10D6}"/>
              </c:ext>
            </c:extLst>
          </c:dPt>
          <c:dPt>
            <c:idx val="31"/>
            <c:invertIfNegative val="1"/>
            <c:bubble3D val="0"/>
            <c:spPr>
              <a:solidFill>
                <a:schemeClr val="accent2">
                  <a:lumMod val="50000"/>
                </a:schemeClr>
              </a:solidFill>
              <a:ln>
                <a:noFill/>
              </a:ln>
              <a:effectLst/>
            </c:spPr>
            <c:extLst>
              <c:ext xmlns:c16="http://schemas.microsoft.com/office/drawing/2014/chart" uri="{C3380CC4-5D6E-409C-BE32-E72D297353CC}">
                <c16:uniqueId val="{0000003F-0BB8-44EB-BF4C-EA7A584A10D6}"/>
              </c:ext>
            </c:extLst>
          </c:dPt>
          <c:dPt>
            <c:idx val="32"/>
            <c:invertIfNegative val="1"/>
            <c:bubble3D val="0"/>
            <c:spPr>
              <a:solidFill>
                <a:schemeClr val="accent3">
                  <a:lumMod val="50000"/>
                </a:schemeClr>
              </a:solidFill>
              <a:ln>
                <a:noFill/>
              </a:ln>
              <a:effectLst/>
            </c:spPr>
            <c:extLst>
              <c:ext xmlns:c16="http://schemas.microsoft.com/office/drawing/2014/chart" uri="{C3380CC4-5D6E-409C-BE32-E72D297353CC}">
                <c16:uniqueId val="{00000041-0BB8-44EB-BF4C-EA7A584A10D6}"/>
              </c:ext>
            </c:extLst>
          </c:dPt>
          <c:dPt>
            <c:idx val="33"/>
            <c:invertIfNegative val="1"/>
            <c:bubble3D val="0"/>
            <c:spPr>
              <a:solidFill>
                <a:schemeClr val="accent4">
                  <a:lumMod val="50000"/>
                </a:schemeClr>
              </a:solidFill>
              <a:ln>
                <a:noFill/>
              </a:ln>
              <a:effectLst/>
            </c:spPr>
            <c:extLst>
              <c:ext xmlns:c16="http://schemas.microsoft.com/office/drawing/2014/chart" uri="{C3380CC4-5D6E-409C-BE32-E72D297353CC}">
                <c16:uniqueId val="{00000043-0BB8-44EB-BF4C-EA7A584A10D6}"/>
              </c:ext>
            </c:extLst>
          </c:dPt>
          <c:dPt>
            <c:idx val="34"/>
            <c:invertIfNegative val="1"/>
            <c:bubble3D val="0"/>
            <c:spPr>
              <a:solidFill>
                <a:schemeClr val="accent5">
                  <a:lumMod val="50000"/>
                </a:schemeClr>
              </a:solidFill>
              <a:ln>
                <a:noFill/>
              </a:ln>
              <a:effectLst/>
            </c:spPr>
            <c:extLst>
              <c:ext xmlns:c16="http://schemas.microsoft.com/office/drawing/2014/chart" uri="{C3380CC4-5D6E-409C-BE32-E72D297353CC}">
                <c16:uniqueId val="{00000045-0BB8-44EB-BF4C-EA7A584A10D6}"/>
              </c:ext>
            </c:extLst>
          </c:dPt>
          <c:dPt>
            <c:idx val="35"/>
            <c:invertIfNegative val="1"/>
            <c:bubble3D val="0"/>
            <c:spPr>
              <a:solidFill>
                <a:schemeClr val="accent6">
                  <a:lumMod val="50000"/>
                </a:schemeClr>
              </a:solidFill>
              <a:ln>
                <a:noFill/>
              </a:ln>
              <a:effectLst/>
            </c:spPr>
            <c:extLst>
              <c:ext xmlns:c16="http://schemas.microsoft.com/office/drawing/2014/chart" uri="{C3380CC4-5D6E-409C-BE32-E72D297353CC}">
                <c16:uniqueId val="{00000047-0BB8-44EB-BF4C-EA7A584A10D6}"/>
              </c:ext>
            </c:extLst>
          </c:dPt>
          <c:dPt>
            <c:idx val="36"/>
            <c:invertIfNegative val="1"/>
            <c:bubble3D val="0"/>
            <c:spPr>
              <a:solidFill>
                <a:schemeClr val="accent1">
                  <a:lumMod val="70000"/>
                  <a:lumOff val="30000"/>
                </a:schemeClr>
              </a:solidFill>
              <a:ln>
                <a:noFill/>
              </a:ln>
              <a:effectLst/>
            </c:spPr>
            <c:extLst>
              <c:ext xmlns:c16="http://schemas.microsoft.com/office/drawing/2014/chart" uri="{C3380CC4-5D6E-409C-BE32-E72D297353CC}">
                <c16:uniqueId val="{00000049-0BB8-44EB-BF4C-EA7A584A10D6}"/>
              </c:ext>
            </c:extLst>
          </c:dPt>
          <c:dPt>
            <c:idx val="37"/>
            <c:invertIfNegative val="1"/>
            <c:bubble3D val="0"/>
            <c:spPr>
              <a:solidFill>
                <a:schemeClr val="accent2">
                  <a:lumMod val="70000"/>
                  <a:lumOff val="30000"/>
                </a:schemeClr>
              </a:solidFill>
              <a:ln>
                <a:noFill/>
              </a:ln>
              <a:effectLst/>
            </c:spPr>
            <c:extLst>
              <c:ext xmlns:c16="http://schemas.microsoft.com/office/drawing/2014/chart" uri="{C3380CC4-5D6E-409C-BE32-E72D297353CC}">
                <c16:uniqueId val="{0000004B-0BB8-44EB-BF4C-EA7A584A10D6}"/>
              </c:ext>
            </c:extLst>
          </c:dPt>
          <c:dPt>
            <c:idx val="38"/>
            <c:invertIfNegative val="1"/>
            <c:bubble3D val="0"/>
            <c:spPr>
              <a:solidFill>
                <a:schemeClr val="accent3">
                  <a:lumMod val="70000"/>
                  <a:lumOff val="30000"/>
                </a:schemeClr>
              </a:solidFill>
              <a:ln>
                <a:noFill/>
              </a:ln>
              <a:effectLst/>
            </c:spPr>
            <c:extLst>
              <c:ext xmlns:c16="http://schemas.microsoft.com/office/drawing/2014/chart" uri="{C3380CC4-5D6E-409C-BE32-E72D297353CC}">
                <c16:uniqueId val="{0000004D-0BB8-44EB-BF4C-EA7A584A10D6}"/>
              </c:ext>
            </c:extLst>
          </c:dPt>
          <c:dPt>
            <c:idx val="39"/>
            <c:invertIfNegative val="1"/>
            <c:bubble3D val="0"/>
            <c:spPr>
              <a:solidFill>
                <a:schemeClr val="accent4">
                  <a:lumMod val="70000"/>
                  <a:lumOff val="30000"/>
                </a:schemeClr>
              </a:solidFill>
              <a:ln>
                <a:noFill/>
              </a:ln>
              <a:effectLst/>
            </c:spPr>
            <c:extLst>
              <c:ext xmlns:c16="http://schemas.microsoft.com/office/drawing/2014/chart" uri="{C3380CC4-5D6E-409C-BE32-E72D297353CC}">
                <c16:uniqueId val="{0000004F-0BB8-44EB-BF4C-EA7A584A10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'DF10'!$A$22:$A$61</c:f>
              <c:strCache>
                <c:ptCount val="40"/>
                <c:pt idx="0">
                  <c:v>EDM01</c:v>
                </c:pt>
                <c:pt idx="1">
                  <c:v>EDM02</c:v>
                </c:pt>
                <c:pt idx="2">
                  <c:v>EDM03</c:v>
                </c:pt>
                <c:pt idx="3">
                  <c:v>EDM04</c:v>
                </c:pt>
                <c:pt idx="4">
                  <c:v>EDM05</c:v>
                </c:pt>
                <c:pt idx="5">
                  <c:v>APO01</c:v>
                </c:pt>
                <c:pt idx="6">
                  <c:v>APO02</c:v>
                </c:pt>
                <c:pt idx="7">
                  <c:v>APO03</c:v>
                </c:pt>
                <c:pt idx="8">
                  <c:v>APO04</c:v>
                </c:pt>
                <c:pt idx="9">
                  <c:v>APO05</c:v>
                </c:pt>
                <c:pt idx="10">
                  <c:v>APO06</c:v>
                </c:pt>
                <c:pt idx="11">
                  <c:v>APO07</c:v>
                </c:pt>
                <c:pt idx="12">
                  <c:v>APO08</c:v>
                </c:pt>
                <c:pt idx="13">
                  <c:v>APO09</c:v>
                </c:pt>
                <c:pt idx="14">
                  <c:v>APO10</c:v>
                </c:pt>
                <c:pt idx="15">
                  <c:v>APO11</c:v>
                </c:pt>
                <c:pt idx="16">
                  <c:v>APO12</c:v>
                </c:pt>
                <c:pt idx="17">
                  <c:v>APO13</c:v>
                </c:pt>
                <c:pt idx="18">
                  <c:v>APO14</c:v>
                </c:pt>
                <c:pt idx="19">
                  <c:v>BAI01</c:v>
                </c:pt>
                <c:pt idx="20">
                  <c:v>BAI02</c:v>
                </c:pt>
                <c:pt idx="21">
                  <c:v>BAI03</c:v>
                </c:pt>
                <c:pt idx="22">
                  <c:v>BAI04</c:v>
                </c:pt>
                <c:pt idx="23">
                  <c:v>BAI05</c:v>
                </c:pt>
                <c:pt idx="24">
                  <c:v>BAI06</c:v>
                </c:pt>
                <c:pt idx="25">
                  <c:v>BAI07</c:v>
                </c:pt>
                <c:pt idx="26">
                  <c:v>BAI08</c:v>
                </c:pt>
                <c:pt idx="27">
                  <c:v>BAI09</c:v>
                </c:pt>
                <c:pt idx="28">
                  <c:v>BAI10</c:v>
                </c:pt>
                <c:pt idx="29">
                  <c:v>BAI11</c:v>
                </c:pt>
                <c:pt idx="30">
                  <c:v>DSS01</c:v>
                </c:pt>
                <c:pt idx="31">
                  <c:v>DSS02</c:v>
                </c:pt>
                <c:pt idx="32">
                  <c:v>DSS03</c:v>
                </c:pt>
                <c:pt idx="33">
                  <c:v>DSS04</c:v>
                </c:pt>
                <c:pt idx="34">
                  <c:v>DSS05</c:v>
                </c:pt>
                <c:pt idx="35">
                  <c:v>DSS06</c:v>
                </c:pt>
                <c:pt idx="36">
                  <c:v>MEA01</c:v>
                </c:pt>
                <c:pt idx="37">
                  <c:v>MEA02</c:v>
                </c:pt>
                <c:pt idx="38">
                  <c:v>MEA03</c:v>
                </c:pt>
                <c:pt idx="39">
                  <c:v>MEA04</c:v>
                </c:pt>
              </c:strCache>
            </c:strRef>
          </c:cat>
          <c:val>
            <c:numRef>
              <c:f>Canvas!$Q$6:$Q$45</c:f>
              <c:numCache>
                <c:formatCode>General</c:formatCode>
                <c:ptCount val="40"/>
                <c:pt idx="0">
                  <c:v>0</c:v>
                </c:pt>
                <c:pt idx="1">
                  <c:v>15</c:v>
                </c:pt>
                <c:pt idx="2">
                  <c:v>40</c:v>
                </c:pt>
                <c:pt idx="3">
                  <c:v>-20</c:v>
                </c:pt>
                <c:pt idx="4">
                  <c:v>-5</c:v>
                </c:pt>
                <c:pt idx="5">
                  <c:v>15</c:v>
                </c:pt>
                <c:pt idx="6">
                  <c:v>-5</c:v>
                </c:pt>
                <c:pt idx="7">
                  <c:v>20</c:v>
                </c:pt>
                <c:pt idx="8">
                  <c:v>25</c:v>
                </c:pt>
                <c:pt idx="9">
                  <c:v>-15</c:v>
                </c:pt>
                <c:pt idx="10">
                  <c:v>-40</c:v>
                </c:pt>
                <c:pt idx="11">
                  <c:v>10</c:v>
                </c:pt>
                <c:pt idx="12">
                  <c:v>20</c:v>
                </c:pt>
                <c:pt idx="13">
                  <c:v>0</c:v>
                </c:pt>
                <c:pt idx="14">
                  <c:v>-10</c:v>
                </c:pt>
                <c:pt idx="15">
                  <c:v>35</c:v>
                </c:pt>
                <c:pt idx="16">
                  <c:v>50</c:v>
                </c:pt>
                <c:pt idx="17">
                  <c:v>50</c:v>
                </c:pt>
                <c:pt idx="18">
                  <c:v>15</c:v>
                </c:pt>
                <c:pt idx="19">
                  <c:v>25</c:v>
                </c:pt>
                <c:pt idx="20">
                  <c:v>60</c:v>
                </c:pt>
                <c:pt idx="21">
                  <c:v>75</c:v>
                </c:pt>
                <c:pt idx="22">
                  <c:v>35</c:v>
                </c:pt>
                <c:pt idx="23">
                  <c:v>45</c:v>
                </c:pt>
                <c:pt idx="24">
                  <c:v>100</c:v>
                </c:pt>
                <c:pt idx="25">
                  <c:v>65</c:v>
                </c:pt>
                <c:pt idx="26">
                  <c:v>30</c:v>
                </c:pt>
                <c:pt idx="27">
                  <c:v>10</c:v>
                </c:pt>
                <c:pt idx="28">
                  <c:v>65</c:v>
                </c:pt>
                <c:pt idx="29">
                  <c:v>60</c:v>
                </c:pt>
                <c:pt idx="30">
                  <c:v>25</c:v>
                </c:pt>
                <c:pt idx="31">
                  <c:v>35</c:v>
                </c:pt>
                <c:pt idx="32">
                  <c:v>35</c:v>
                </c:pt>
                <c:pt idx="33">
                  <c:v>40</c:v>
                </c:pt>
                <c:pt idx="34">
                  <c:v>50</c:v>
                </c:pt>
                <c:pt idx="35">
                  <c:v>40</c:v>
                </c:pt>
                <c:pt idx="36">
                  <c:v>15</c:v>
                </c:pt>
                <c:pt idx="37">
                  <c:v>10</c:v>
                </c:pt>
                <c:pt idx="38">
                  <c:v>40</c:v>
                </c:pt>
                <c:pt idx="39">
                  <c:v>20</c:v>
                </c:pt>
              </c:numCache>
            </c:numRef>
          </c:val>
          <c:extLst>
            <c:ext xmlns:c16="http://schemas.microsoft.com/office/drawing/2014/chart" uri="{C3380CC4-5D6E-409C-BE32-E72D297353CC}">
              <c16:uniqueId val="{00000000-23AD-49BE-A39E-5FCDFFCEEAEF}"/>
            </c:ext>
          </c:extLst>
        </c:ser>
        <c:dLbls>
          <c:dLblPos val="outEnd"/>
          <c:showLegendKey val="0"/>
          <c:showVal val="1"/>
          <c:showCatName val="0"/>
          <c:showSerName val="0"/>
          <c:showPercent val="0"/>
          <c:showBubbleSize val="0"/>
        </c:dLbls>
        <c:gapWidth val="182"/>
        <c:axId val="135426816"/>
        <c:axId val="135428352"/>
      </c:barChart>
      <c:catAx>
        <c:axId val="135426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28352"/>
        <c:crosses val="autoZero"/>
        <c:auto val="1"/>
        <c:lblAlgn val="ctr"/>
        <c:lblOffset val="100"/>
        <c:noMultiLvlLbl val="1"/>
      </c:catAx>
      <c:valAx>
        <c:axId val="135428352"/>
        <c:scaling>
          <c:orientation val="minMax"/>
          <c:max val="100"/>
          <c:min val="-10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2681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156947782086817"/>
          <c:y val="9.2220689655172425E-2"/>
          <c:w val="0.46247625870753506"/>
          <c:h val="0.85260689655172472"/>
        </c:manualLayout>
      </c:layout>
      <c:barChart>
        <c:barDir val="bar"/>
        <c:grouping val="clustered"/>
        <c:varyColors val="1"/>
        <c:ser>
          <c:idx val="0"/>
          <c:order val="0"/>
          <c:invertIfNegative val="1"/>
          <c:dPt>
            <c:idx val="0"/>
            <c:invertIfNegative val="1"/>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7733-4DA4-8C37-26D5D94D3B30}"/>
              </c:ext>
            </c:extLst>
          </c:dPt>
          <c:dPt>
            <c:idx val="1"/>
            <c:invertIfNegative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7733-4DA4-8C37-26D5D94D3B30}"/>
              </c:ext>
            </c:extLst>
          </c:dPt>
          <c:dPt>
            <c:idx val="2"/>
            <c:invertIfNegative val="1"/>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7733-4DA4-8C37-26D5D94D3B30}"/>
              </c:ext>
            </c:extLst>
          </c:dPt>
          <c:dPt>
            <c:idx val="3"/>
            <c:invertIfNegative val="1"/>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7733-4DA4-8C37-26D5D94D3B30}"/>
              </c:ext>
            </c:extLst>
          </c:dPt>
          <c:dPt>
            <c:idx val="4"/>
            <c:invertIfNegative val="1"/>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7733-4DA4-8C37-26D5D94D3B30}"/>
              </c:ext>
            </c:extLst>
          </c:dPt>
          <c:dPt>
            <c:idx val="5"/>
            <c:invertIfNegative val="1"/>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7733-4DA4-8C37-26D5D94D3B30}"/>
              </c:ext>
            </c:extLst>
          </c:dPt>
          <c:dPt>
            <c:idx val="6"/>
            <c:invertIfNegative val="1"/>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7733-4DA4-8C37-26D5D94D3B30}"/>
              </c:ext>
            </c:extLst>
          </c:dPt>
          <c:dPt>
            <c:idx val="7"/>
            <c:invertIfNegative val="1"/>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7733-4DA4-8C37-26D5D94D3B30}"/>
              </c:ext>
            </c:extLst>
          </c:dPt>
          <c:dPt>
            <c:idx val="8"/>
            <c:invertIfNegative val="1"/>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7733-4DA4-8C37-26D5D94D3B30}"/>
              </c:ext>
            </c:extLst>
          </c:dPt>
          <c:dPt>
            <c:idx val="9"/>
            <c:invertIfNegative val="1"/>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13-7733-4DA4-8C37-26D5D94D3B30}"/>
              </c:ext>
            </c:extLst>
          </c:dPt>
          <c:dPt>
            <c:idx val="10"/>
            <c:invertIfNegative val="1"/>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extLst>
              <c:ext xmlns:c16="http://schemas.microsoft.com/office/drawing/2014/chart" uri="{C3380CC4-5D6E-409C-BE32-E72D297353CC}">
                <c16:uniqueId val="{00000015-7733-4DA4-8C37-26D5D94D3B30}"/>
              </c:ext>
            </c:extLst>
          </c:dPt>
          <c:dPt>
            <c:idx val="11"/>
            <c:invertIfNegative val="1"/>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extLst>
              <c:ext xmlns:c16="http://schemas.microsoft.com/office/drawing/2014/chart" uri="{C3380CC4-5D6E-409C-BE32-E72D297353CC}">
                <c16:uniqueId val="{00000017-7733-4DA4-8C37-26D5D94D3B30}"/>
              </c:ext>
            </c:extLst>
          </c:dPt>
          <c:dPt>
            <c:idx val="12"/>
            <c:invertIfNegative val="1"/>
            <c:bubble3D val="0"/>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9525" cap="flat" cmpd="sng" algn="ctr">
                <a:solidFill>
                  <a:schemeClr val="accent1">
                    <a:lumMod val="80000"/>
                    <a:lumOff val="20000"/>
                    <a:shade val="95000"/>
                  </a:schemeClr>
                </a:solidFill>
                <a:round/>
              </a:ln>
              <a:effectLst/>
            </c:spPr>
            <c:extLst>
              <c:ext xmlns:c16="http://schemas.microsoft.com/office/drawing/2014/chart" uri="{C3380CC4-5D6E-409C-BE32-E72D297353CC}">
                <c16:uniqueId val="{00000019-7733-4DA4-8C37-26D5D94D3B30}"/>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'DF2'!$A$6:$A$18</c:f>
              <c:strCache>
                <c:ptCount val="13"/>
                <c:pt idx="0">
                  <c:v>EG01—Portfolio of competitive products and services</c:v>
                </c:pt>
                <c:pt idx="1">
                  <c:v>EG02—Managed business risk</c:v>
                </c:pt>
                <c:pt idx="2">
                  <c:v>EG03—Compliance with external laws and regulations</c:v>
                </c:pt>
                <c:pt idx="3">
                  <c:v>EG04—Quality of financial information</c:v>
                </c:pt>
                <c:pt idx="4">
                  <c:v>EG05—Customer-oriented service culture</c:v>
                </c:pt>
                <c:pt idx="5">
                  <c:v>EG06—Business-service continuity and availability</c:v>
                </c:pt>
                <c:pt idx="6">
                  <c:v>EG07—Quality of management information</c:v>
                </c:pt>
                <c:pt idx="7">
                  <c:v>EG08—Optimization of internal business process functionality</c:v>
                </c:pt>
                <c:pt idx="8">
                  <c:v>EG09—Optimization of business process costs</c:v>
                </c:pt>
                <c:pt idx="9">
                  <c:v>EG10—Staff skills, motivation and productivity</c:v>
                </c:pt>
                <c:pt idx="10">
                  <c:v>EG11—Compliance with internal policies</c:v>
                </c:pt>
                <c:pt idx="11">
                  <c:v>EG12—Managed digital transformation programs</c:v>
                </c:pt>
                <c:pt idx="12">
                  <c:v>EG13—Product and business innovation</c:v>
                </c:pt>
              </c:strCache>
            </c:strRef>
          </c:cat>
          <c:val>
            <c:numRef>
              <c:f>'DF2'!$E$6:$E$18</c:f>
              <c:numCache>
                <c:formatCode>General</c:formatCode>
                <c:ptCount val="13"/>
                <c:pt idx="0">
                  <c:v>3</c:v>
                </c:pt>
                <c:pt idx="1">
                  <c:v>2</c:v>
                </c:pt>
                <c:pt idx="2">
                  <c:v>4</c:v>
                </c:pt>
                <c:pt idx="3">
                  <c:v>2</c:v>
                </c:pt>
                <c:pt idx="4">
                  <c:v>5</c:v>
                </c:pt>
                <c:pt idx="5">
                  <c:v>4</c:v>
                </c:pt>
                <c:pt idx="6">
                  <c:v>4</c:v>
                </c:pt>
                <c:pt idx="7">
                  <c:v>2</c:v>
                </c:pt>
                <c:pt idx="8">
                  <c:v>1</c:v>
                </c:pt>
                <c:pt idx="9">
                  <c:v>3</c:v>
                </c:pt>
                <c:pt idx="10">
                  <c:v>3</c:v>
                </c:pt>
                <c:pt idx="11">
                  <c:v>3</c:v>
                </c:pt>
                <c:pt idx="12">
                  <c:v>3</c:v>
                </c:pt>
              </c:numCache>
            </c:numRef>
          </c:val>
          <c:extLst>
            <c:ext xmlns:c16="http://schemas.microsoft.com/office/drawing/2014/chart" uri="{C3380CC4-5D6E-409C-BE32-E72D297353CC}">
              <c16:uniqueId val="{0000001A-7733-4DA4-8C37-26D5D94D3B30}"/>
            </c:ext>
          </c:extLst>
        </c:ser>
        <c:dLbls>
          <c:dLblPos val="outEnd"/>
          <c:showLegendKey val="0"/>
          <c:showVal val="1"/>
          <c:showCatName val="0"/>
          <c:showSerName val="0"/>
          <c:showPercent val="0"/>
          <c:showBubbleSize val="0"/>
        </c:dLbls>
        <c:gapWidth val="55"/>
        <c:axId val="78722560"/>
        <c:axId val="78724096"/>
      </c:barChart>
      <c:catAx>
        <c:axId val="78722560"/>
        <c:scaling>
          <c:orientation val="minMax"/>
        </c:scaling>
        <c:delete val="0"/>
        <c:axPos val="l"/>
        <c:numFmt formatCode="General" sourceLinked="1"/>
        <c:majorTickMark val="out"/>
        <c:minorTickMark val="cross"/>
        <c:tickLblPos val="nextTo"/>
        <c:crossAx val="78724096"/>
        <c:crosses val="autoZero"/>
        <c:auto val="1"/>
        <c:lblAlgn val="ctr"/>
        <c:lblOffset val="100"/>
        <c:noMultiLvlLbl val="1"/>
      </c:catAx>
      <c:valAx>
        <c:axId val="78724096"/>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cross"/>
        <c:tickLblPos val="nextTo"/>
        <c:crossAx val="7872256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1"/>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3"/>
          <c:order val="3"/>
          <c:spPr>
            <a:solidFill>
              <a:srgbClr val="FFC000"/>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'DF3'!$A$6:$A$24</c:f>
              <c:strCache>
                <c:ptCount val="19"/>
                <c:pt idx="0">
                  <c:v>IT investment decision making, portfolio definition &amp; maintenance</c:v>
                </c:pt>
                <c:pt idx="1">
                  <c:v>Program &amp; projects life cycle management</c:v>
                </c:pt>
                <c:pt idx="2">
                  <c:v>IT cost &amp; oversight</c:v>
                </c:pt>
                <c:pt idx="3">
                  <c:v>IT expertise, skills &amp; behavior</c:v>
                </c:pt>
                <c:pt idx="4">
                  <c:v>Enterprise/IT architecture </c:v>
                </c:pt>
                <c:pt idx="5">
                  <c:v>IT operational infrastructure incidents</c:v>
                </c:pt>
                <c:pt idx="6">
                  <c:v>Unauthorized actions</c:v>
                </c:pt>
                <c:pt idx="7">
                  <c:v>Software adoption/usage problems</c:v>
                </c:pt>
                <c:pt idx="8">
                  <c:v>Hardware incidents</c:v>
                </c:pt>
                <c:pt idx="9">
                  <c:v>Software failures</c:v>
                </c:pt>
                <c:pt idx="10">
                  <c:v>Logical attacks (hacking, malware, etc.)</c:v>
                </c:pt>
                <c:pt idx="11">
                  <c:v>Third-party/supplier incidents</c:v>
                </c:pt>
                <c:pt idx="12">
                  <c:v>Noncompliance</c:v>
                </c:pt>
                <c:pt idx="13">
                  <c:v>Geopolitical Issues</c:v>
                </c:pt>
                <c:pt idx="14">
                  <c:v>Industrial action</c:v>
                </c:pt>
                <c:pt idx="15">
                  <c:v>Acts of nature</c:v>
                </c:pt>
                <c:pt idx="16">
                  <c:v>Technology-based innovation </c:v>
                </c:pt>
                <c:pt idx="17">
                  <c:v>Environmental</c:v>
                </c:pt>
                <c:pt idx="18">
                  <c:v>Data &amp; information management</c:v>
                </c:pt>
              </c:strCache>
            </c:strRef>
          </c:cat>
          <c:val>
            <c:numRef>
              <c:f>'DF3'!$G$6:$G$24</c:f>
              <c:numCache>
                <c:formatCode>General</c:formatCode>
                <c:ptCount val="19"/>
                <c:pt idx="0">
                  <c:v>4</c:v>
                </c:pt>
                <c:pt idx="1">
                  <c:v>16</c:v>
                </c:pt>
                <c:pt idx="2">
                  <c:v>4</c:v>
                </c:pt>
                <c:pt idx="3">
                  <c:v>12</c:v>
                </c:pt>
                <c:pt idx="4">
                  <c:v>6</c:v>
                </c:pt>
                <c:pt idx="5">
                  <c:v>15</c:v>
                </c:pt>
                <c:pt idx="6">
                  <c:v>15</c:v>
                </c:pt>
                <c:pt idx="7">
                  <c:v>6</c:v>
                </c:pt>
                <c:pt idx="8">
                  <c:v>10</c:v>
                </c:pt>
                <c:pt idx="9">
                  <c:v>20</c:v>
                </c:pt>
                <c:pt idx="10">
                  <c:v>25</c:v>
                </c:pt>
                <c:pt idx="11">
                  <c:v>1</c:v>
                </c:pt>
                <c:pt idx="12">
                  <c:v>9</c:v>
                </c:pt>
                <c:pt idx="13">
                  <c:v>1</c:v>
                </c:pt>
                <c:pt idx="14">
                  <c:v>1</c:v>
                </c:pt>
                <c:pt idx="15">
                  <c:v>4</c:v>
                </c:pt>
                <c:pt idx="16">
                  <c:v>20</c:v>
                </c:pt>
                <c:pt idx="17">
                  <c:v>4</c:v>
                </c:pt>
                <c:pt idx="18">
                  <c:v>25</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6C11-4283-B6F8-9AE6B109709E}"/>
            </c:ext>
          </c:extLst>
        </c:ser>
        <c:dLbls>
          <c:dLblPos val="outEnd"/>
          <c:showLegendKey val="0"/>
          <c:showVal val="1"/>
          <c:showCatName val="0"/>
          <c:showSerName val="0"/>
          <c:showPercent val="0"/>
          <c:showBubbleSize val="0"/>
        </c:dLbls>
        <c:gapWidth val="182"/>
        <c:axId val="129892736"/>
        <c:axId val="129894272"/>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'DF3'!$A$6:$A$24</c15:sqref>
                        </c15:formulaRef>
                      </c:ext>
                    </c:extLst>
                    <c:strCache>
                      <c:ptCount val="19"/>
                      <c:pt idx="0">
                        <c:v>IT investment decision making, portfolio definition &amp; maintenance</c:v>
                      </c:pt>
                      <c:pt idx="1">
                        <c:v>Program &amp; projects life cycle management</c:v>
                      </c:pt>
                      <c:pt idx="2">
                        <c:v>IT cost &amp; oversight</c:v>
                      </c:pt>
                      <c:pt idx="3">
                        <c:v>IT expertise, skills &amp; behavior</c:v>
                      </c:pt>
                      <c:pt idx="4">
                        <c:v>Enterprise/IT architecture </c:v>
                      </c:pt>
                      <c:pt idx="5">
                        <c:v>IT operational infrastructure incidents</c:v>
                      </c:pt>
                      <c:pt idx="6">
                        <c:v>Unauthorized actions</c:v>
                      </c:pt>
                      <c:pt idx="7">
                        <c:v>Software adoption/usage problems</c:v>
                      </c:pt>
                      <c:pt idx="8">
                        <c:v>Hardware incidents</c:v>
                      </c:pt>
                      <c:pt idx="9">
                        <c:v>Software failures</c:v>
                      </c:pt>
                      <c:pt idx="10">
                        <c:v>Logical attacks (hacking, malware, etc.)</c:v>
                      </c:pt>
                      <c:pt idx="11">
                        <c:v>Third-party/supplier incidents</c:v>
                      </c:pt>
                      <c:pt idx="12">
                        <c:v>Noncompliance</c:v>
                      </c:pt>
                      <c:pt idx="13">
                        <c:v>Geopolitical Issues</c:v>
                      </c:pt>
                      <c:pt idx="14">
                        <c:v>Industrial action</c:v>
                      </c:pt>
                      <c:pt idx="15">
                        <c:v>Acts of nature</c:v>
                      </c:pt>
                      <c:pt idx="16">
                        <c:v>Technology-based innovation </c:v>
                      </c:pt>
                      <c:pt idx="17">
                        <c:v>Environmental</c:v>
                      </c:pt>
                      <c:pt idx="18">
                        <c:v>Data &amp; information management</c:v>
                      </c:pt>
                    </c:strCache>
                  </c:strRef>
                </c:cat>
                <c:val>
                  <c:numRef>
                    <c:extLst>
                      <c:ext uri="{02D57815-91ED-43cb-92C2-25804820EDAC}">
                        <c15:formulaRef>
                          <c15:sqref>'DF3'!$B$6:$B$24</c15:sqref>
                        </c15:formulaRef>
                      </c:ext>
                    </c:extLst>
                    <c:numCache>
                      <c:formatCode>General</c:formatCode>
                      <c:ptCount val="19"/>
                    </c:numCache>
                  </c:numRef>
                </c:val>
                <c:extLst>
                  <c:ext xmlns:c16="http://schemas.microsoft.com/office/drawing/2014/chart" uri="{C3380CC4-5D6E-409C-BE32-E72D297353CC}">
                    <c16:uniqueId val="{00000001-6C11-4283-B6F8-9AE6B109709E}"/>
                  </c:ext>
                </c:extLst>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'DF3'!$A$6:$A$24</c15:sqref>
                        </c15:formulaRef>
                      </c:ext>
                    </c:extLst>
                    <c:strCache>
                      <c:ptCount val="19"/>
                      <c:pt idx="0">
                        <c:v>IT investment decision making, portfolio definition &amp; maintenance</c:v>
                      </c:pt>
                      <c:pt idx="1">
                        <c:v>Program &amp; projects life cycle management</c:v>
                      </c:pt>
                      <c:pt idx="2">
                        <c:v>IT cost &amp; oversight</c:v>
                      </c:pt>
                      <c:pt idx="3">
                        <c:v>IT expertise, skills &amp; behavior</c:v>
                      </c:pt>
                      <c:pt idx="4">
                        <c:v>Enterprise/IT architecture </c:v>
                      </c:pt>
                      <c:pt idx="5">
                        <c:v>IT operational infrastructure incidents</c:v>
                      </c:pt>
                      <c:pt idx="6">
                        <c:v>Unauthorized actions</c:v>
                      </c:pt>
                      <c:pt idx="7">
                        <c:v>Software adoption/usage problems</c:v>
                      </c:pt>
                      <c:pt idx="8">
                        <c:v>Hardware incidents</c:v>
                      </c:pt>
                      <c:pt idx="9">
                        <c:v>Software failures</c:v>
                      </c:pt>
                      <c:pt idx="10">
                        <c:v>Logical attacks (hacking, malware, etc.)</c:v>
                      </c:pt>
                      <c:pt idx="11">
                        <c:v>Third-party/supplier incidents</c:v>
                      </c:pt>
                      <c:pt idx="12">
                        <c:v>Noncompliance</c:v>
                      </c:pt>
                      <c:pt idx="13">
                        <c:v>Geopolitical Issues</c:v>
                      </c:pt>
                      <c:pt idx="14">
                        <c:v>Industrial action</c:v>
                      </c:pt>
                      <c:pt idx="15">
                        <c:v>Acts of nature</c:v>
                      </c:pt>
                      <c:pt idx="16">
                        <c:v>Technology-based innovation </c:v>
                      </c:pt>
                      <c:pt idx="17">
                        <c:v>Environmental</c:v>
                      </c:pt>
                      <c:pt idx="18">
                        <c:v>Data &amp; information management</c:v>
                      </c:pt>
                    </c:strCache>
                  </c:strRef>
                </c:cat>
                <c:val>
                  <c:numRef>
                    <c:extLst xmlns:c15="http://schemas.microsoft.com/office/drawing/2012/chart">
                      <c:ext xmlns:c15="http://schemas.microsoft.com/office/drawing/2012/chart" uri="{02D57815-91ED-43cb-92C2-25804820EDAC}">
                        <c15:formulaRef>
                          <c15:sqref>'DF3'!$C$6:$C$24</c15:sqref>
                        </c15:formulaRef>
                      </c:ext>
                    </c:extLst>
                    <c:numCache>
                      <c:formatCode>General</c:formatCode>
                      <c:ptCount val="19"/>
                    </c:numCache>
                  </c:numRef>
                </c:val>
                <c:extLst xmlns:c15="http://schemas.microsoft.com/office/drawing/2012/chart">
                  <c:ext xmlns:c16="http://schemas.microsoft.com/office/drawing/2014/chart" uri="{C3380CC4-5D6E-409C-BE32-E72D297353CC}">
                    <c16:uniqueId val="{00000002-6C11-4283-B6F8-9AE6B109709E}"/>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'DF3'!$A$6:$A$24</c15:sqref>
                        </c15:formulaRef>
                      </c:ext>
                    </c:extLst>
                    <c:strCache>
                      <c:ptCount val="19"/>
                      <c:pt idx="0">
                        <c:v>IT investment decision making, portfolio definition &amp; maintenance</c:v>
                      </c:pt>
                      <c:pt idx="1">
                        <c:v>Program &amp; projects life cycle management</c:v>
                      </c:pt>
                      <c:pt idx="2">
                        <c:v>IT cost &amp; oversight</c:v>
                      </c:pt>
                      <c:pt idx="3">
                        <c:v>IT expertise, skills &amp; behavior</c:v>
                      </c:pt>
                      <c:pt idx="4">
                        <c:v>Enterprise/IT architecture </c:v>
                      </c:pt>
                      <c:pt idx="5">
                        <c:v>IT operational infrastructure incidents</c:v>
                      </c:pt>
                      <c:pt idx="6">
                        <c:v>Unauthorized actions</c:v>
                      </c:pt>
                      <c:pt idx="7">
                        <c:v>Software adoption/usage problems</c:v>
                      </c:pt>
                      <c:pt idx="8">
                        <c:v>Hardware incidents</c:v>
                      </c:pt>
                      <c:pt idx="9">
                        <c:v>Software failures</c:v>
                      </c:pt>
                      <c:pt idx="10">
                        <c:v>Logical attacks (hacking, malware, etc.)</c:v>
                      </c:pt>
                      <c:pt idx="11">
                        <c:v>Third-party/supplier incidents</c:v>
                      </c:pt>
                      <c:pt idx="12">
                        <c:v>Noncompliance</c:v>
                      </c:pt>
                      <c:pt idx="13">
                        <c:v>Geopolitical Issues</c:v>
                      </c:pt>
                      <c:pt idx="14">
                        <c:v>Industrial action</c:v>
                      </c:pt>
                      <c:pt idx="15">
                        <c:v>Acts of nature</c:v>
                      </c:pt>
                      <c:pt idx="16">
                        <c:v>Technology-based innovation </c:v>
                      </c:pt>
                      <c:pt idx="17">
                        <c:v>Environmental</c:v>
                      </c:pt>
                      <c:pt idx="18">
                        <c:v>Data &amp; information management</c:v>
                      </c:pt>
                    </c:strCache>
                  </c:strRef>
                </c:cat>
                <c:val>
                  <c:numRef>
                    <c:extLst xmlns:c15="http://schemas.microsoft.com/office/drawing/2012/chart">
                      <c:ext xmlns:c15="http://schemas.microsoft.com/office/drawing/2012/chart" uri="{02D57815-91ED-43cb-92C2-25804820EDAC}">
                        <c15:formulaRef>
                          <c15:sqref>'DF3'!$D$6:$D$24</c15:sqref>
                        </c15:formulaRef>
                      </c:ext>
                    </c:extLst>
                    <c:numCache>
                      <c:formatCode>General</c:formatCode>
                      <c:ptCount val="19"/>
                    </c:numCache>
                  </c:numRef>
                </c:val>
                <c:extLst xmlns:c15="http://schemas.microsoft.com/office/drawing/2012/chart">
                  <c:ext xmlns:c16="http://schemas.microsoft.com/office/drawing/2014/chart" uri="{C3380CC4-5D6E-409C-BE32-E72D297353CC}">
                    <c16:uniqueId val="{00000003-6C11-4283-B6F8-9AE6B109709E}"/>
                  </c:ext>
                </c:extLst>
              </c15:ser>
            </c15:filteredBarSeries>
          </c:ext>
        </c:extLst>
      </c:barChart>
      <c:catAx>
        <c:axId val="1298927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894272"/>
        <c:crosses val="autoZero"/>
        <c:auto val="1"/>
        <c:lblAlgn val="ctr"/>
        <c:lblOffset val="100"/>
        <c:noMultiLvlLbl val="1"/>
      </c:catAx>
      <c:valAx>
        <c:axId val="12989427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89273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2"/>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spPr>
            <a:solidFill>
              <a:srgbClr val="8497B0"/>
            </a:solidFill>
            <a:ln w="9525" cap="flat" cmpd="sng" algn="ctr">
              <a:solidFill>
                <a:schemeClr val="accent1">
                  <a:shade val="95000"/>
                </a:schemeClr>
              </a:solidFill>
              <a:round/>
            </a:ln>
            <a:effectLst/>
          </c:spPr>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'DF4'!$A$6:$E$25</c:f>
              <c:strCache>
                <c:ptCount val="20"/>
                <c:pt idx="0">
                  <c:v>Frustration between different IT entities across the organization because of a perception of low contribution to business value</c:v>
                </c:pt>
                <c:pt idx="1">
                  <c:v>Frustration between business departments (i.e., the IT customer) and the IT department because of failed initiatives or a perception of low contribution to business value</c:v>
                </c:pt>
                <c:pt idx="2">
                  <c:v>Significant I&amp;T-related incidents, such as data loss, security breaches, project failure and application errors, linked to IT</c:v>
                </c:pt>
                <c:pt idx="3">
                  <c:v>Service delivery problems by the IT outsourcer(s) </c:v>
                </c:pt>
                <c:pt idx="4">
                  <c:v>Failures to meet IT-related regulatory or contractual requirements </c:v>
                </c:pt>
                <c:pt idx="5">
                  <c:v>Regular audit findings or other assessment reports about poor IT performance or reported IT quality or service problems</c:v>
                </c:pt>
                <c:pt idx="6">
                  <c:v>Substantial hidden and rogue IT spending, that is, I&amp;T spending by user departments outside the control of the normal I&amp;T investment decision mechanisms and approved budgets</c:v>
                </c:pt>
                <c:pt idx="7">
                  <c:v>Duplications or overlaps between various initiatives, or other forms of wasted resources</c:v>
                </c:pt>
                <c:pt idx="8">
                  <c:v>Insufficient IT resources, staff with inadequate skills or staff burnout/dissatisfaction</c:v>
                </c:pt>
                <c:pt idx="9">
                  <c:v>IT-enabled changes or projects frequently failing to meet business needs and delivered late or over budget</c:v>
                </c:pt>
                <c:pt idx="10">
                  <c:v>Reluctance by board members, executives or senior management to engage with IT, or a lack of committed business sponsorship for IT</c:v>
                </c:pt>
                <c:pt idx="11">
                  <c:v>Complex IT operating model and/or unclear decision mechanisms for IT-related decisions</c:v>
                </c:pt>
                <c:pt idx="12">
                  <c:v>Excessively high cost of IT</c:v>
                </c:pt>
                <c:pt idx="13">
                  <c:v>Obstructed or failed implementation of new initiatives or innovations caused by the current IT architecture and systems</c:v>
                </c:pt>
                <c:pt idx="14">
                  <c:v>Gap between business and technical knowledge, which leads to business users and information and/or technology specialists speaking different languages</c:v>
                </c:pt>
                <c:pt idx="15">
                  <c:v>Regular issues with data quality and integration of data across various sources</c:v>
                </c:pt>
                <c:pt idx="16">
                  <c:v>High level of end-user computing, creating (among other problems) a lack of oversight and quality control over the applications that are being developed and put in operation</c:v>
                </c:pt>
                <c:pt idx="17">
                  <c:v>Business departments implementing their own information solutions with little or no involvement of the enterprise IT department (related to end-user computing, which often stems from dissatisfaction with IT solutions and services)</c:v>
                </c:pt>
                <c:pt idx="18">
                  <c:v>Ignorance of and/or noncompliance with privacy regulations</c:v>
                </c:pt>
                <c:pt idx="19">
                  <c:v>Inability to exploit new technologies or innovate using I&amp;T</c:v>
                </c:pt>
              </c:strCache>
            </c:strRef>
          </c:cat>
          <c:val>
            <c:numRef>
              <c:f>'DF4'!$F$6:$F$25</c:f>
              <c:numCache>
                <c:formatCode>General</c:formatCode>
                <c:ptCount val="20"/>
                <c:pt idx="0">
                  <c:v>1</c:v>
                </c:pt>
                <c:pt idx="1">
                  <c:v>1</c:v>
                </c:pt>
                <c:pt idx="2">
                  <c:v>2</c:v>
                </c:pt>
                <c:pt idx="3">
                  <c:v>1</c:v>
                </c:pt>
                <c:pt idx="4">
                  <c:v>1</c:v>
                </c:pt>
                <c:pt idx="5">
                  <c:v>1</c:v>
                </c:pt>
                <c:pt idx="6">
                  <c:v>1</c:v>
                </c:pt>
                <c:pt idx="7">
                  <c:v>1</c:v>
                </c:pt>
                <c:pt idx="8">
                  <c:v>2</c:v>
                </c:pt>
                <c:pt idx="9">
                  <c:v>1</c:v>
                </c:pt>
                <c:pt idx="10">
                  <c:v>1</c:v>
                </c:pt>
                <c:pt idx="11">
                  <c:v>1</c:v>
                </c:pt>
                <c:pt idx="12">
                  <c:v>1</c:v>
                </c:pt>
                <c:pt idx="13">
                  <c:v>3</c:v>
                </c:pt>
                <c:pt idx="14">
                  <c:v>3</c:v>
                </c:pt>
                <c:pt idx="15">
                  <c:v>3</c:v>
                </c:pt>
                <c:pt idx="16">
                  <c:v>1</c:v>
                </c:pt>
                <c:pt idx="17">
                  <c:v>2</c:v>
                </c:pt>
                <c:pt idx="18">
                  <c:v>2</c:v>
                </c:pt>
                <c:pt idx="19">
                  <c:v>1</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1">
                        <a:shade val="95000"/>
                      </a:schemeClr>
                    </a:solidFill>
                    <a:round/>
                  </a:ln>
                  <a:effectLst/>
                </c14:spPr>
              </c14:invertSolidFillFmt>
            </c:ext>
            <c:ext xmlns:c16="http://schemas.microsoft.com/office/drawing/2014/chart" uri="{C3380CC4-5D6E-409C-BE32-E72D297353CC}">
              <c16:uniqueId val="{00000000-8F0F-4ABD-A298-76CB59A0CD10}"/>
            </c:ext>
          </c:extLst>
        </c:ser>
        <c:dLbls>
          <c:dLblPos val="outEnd"/>
          <c:showLegendKey val="0"/>
          <c:showVal val="1"/>
          <c:showCatName val="0"/>
          <c:showSerName val="0"/>
          <c:showPercent val="0"/>
          <c:showBubbleSize val="0"/>
        </c:dLbls>
        <c:gapWidth val="79"/>
        <c:axId val="129979520"/>
        <c:axId val="129981056"/>
      </c:barChart>
      <c:catAx>
        <c:axId val="129979520"/>
        <c:scaling>
          <c:orientation val="minMax"/>
        </c:scaling>
        <c:delete val="0"/>
        <c:axPos val="l"/>
        <c:numFmt formatCode="General" sourceLinked="1"/>
        <c:majorTickMark val="out"/>
        <c:minorTickMark val="cross"/>
        <c:tickLblPos val="nextTo"/>
        <c:crossAx val="129981056"/>
        <c:crosses val="autoZero"/>
        <c:auto val="1"/>
        <c:lblAlgn val="ctr"/>
        <c:lblOffset val="100"/>
        <c:noMultiLvlLbl val="1"/>
      </c:catAx>
      <c:valAx>
        <c:axId val="129981056"/>
        <c:scaling>
          <c:orientation val="minMax"/>
          <c:max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cross"/>
        <c:tickLblPos val="nextTo"/>
        <c:crossAx val="12997952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1"/>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4B-4913-B2AB-220529D2D2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4B-4913-B2AB-220529D2D2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'DF5'!$A$7:$A$8</c:f>
              <c:strCache>
                <c:ptCount val="2"/>
                <c:pt idx="0">
                  <c:v>High</c:v>
                </c:pt>
                <c:pt idx="1">
                  <c:v>Normal</c:v>
                </c:pt>
              </c:strCache>
            </c:strRef>
          </c:cat>
          <c:val>
            <c:numRef>
              <c:f>'DF5'!$B$7:$B$8</c:f>
              <c:numCache>
                <c:formatCode>0%</c:formatCode>
                <c:ptCount val="2"/>
                <c:pt idx="0">
                  <c:v>0.30000000000000016</c:v>
                </c:pt>
                <c:pt idx="1">
                  <c:v>0.70000000000000029</c:v>
                </c:pt>
              </c:numCache>
            </c:numRef>
          </c:val>
          <c:extLst>
            <c:ext xmlns:c16="http://schemas.microsoft.com/office/drawing/2014/chart" uri="{C3380CC4-5D6E-409C-BE32-E72D297353CC}">
              <c16:uniqueId val="{00000004-EF4B-4913-B2AB-220529D2D21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0B-4C78-9E9D-90C0AF908F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0B-4C78-9E9D-90C0AF908F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0B-4C78-9E9D-90C0AF908F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'DF6'!$A$7:$A$9</c:f>
              <c:strCache>
                <c:ptCount val="3"/>
                <c:pt idx="0">
                  <c:v>High</c:v>
                </c:pt>
                <c:pt idx="1">
                  <c:v>Normal</c:v>
                </c:pt>
                <c:pt idx="2">
                  <c:v>Low</c:v>
                </c:pt>
              </c:strCache>
            </c:strRef>
          </c:cat>
          <c:val>
            <c:numRef>
              <c:f>'DF6'!$B$7:$B$9</c:f>
              <c:numCache>
                <c:formatCode>0%</c:formatCode>
                <c:ptCount val="3"/>
                <c:pt idx="0">
                  <c:v>0.4</c:v>
                </c:pt>
                <c:pt idx="1">
                  <c:v>0.60000000000000031</c:v>
                </c:pt>
                <c:pt idx="2">
                  <c:v>0</c:v>
                </c:pt>
              </c:numCache>
            </c:numRef>
          </c:val>
          <c:extLst>
            <c:ext xmlns:c16="http://schemas.microsoft.com/office/drawing/2014/chart" uri="{C3380CC4-5D6E-409C-BE32-E72D297353CC}">
              <c16:uniqueId val="{00000006-DE0B-4C78-9E9D-90C0AF908F4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2"/>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invertIfNegative val="1"/>
          <c:dPt>
            <c:idx val="0"/>
            <c:invertIfNegative val="1"/>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F6F8-4F5B-90D7-71EC947DD2F5}"/>
              </c:ext>
            </c:extLst>
          </c:dPt>
          <c:dPt>
            <c:idx val="1"/>
            <c:invertIfNegative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F6F8-4F5B-90D7-71EC947DD2F5}"/>
              </c:ext>
            </c:extLst>
          </c:dPt>
          <c:dPt>
            <c:idx val="2"/>
            <c:invertIfNegative val="1"/>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F6F8-4F5B-90D7-71EC947DD2F5}"/>
              </c:ext>
            </c:extLst>
          </c:dPt>
          <c:dPt>
            <c:idx val="3"/>
            <c:invertIfNegative val="1"/>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F6F8-4F5B-90D7-71EC947DD2F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'DF7'!$A$6:$A$9</c:f>
              <c:strCache>
                <c:ptCount val="4"/>
                <c:pt idx="0">
                  <c:v>Support</c:v>
                </c:pt>
                <c:pt idx="1">
                  <c:v>Factory</c:v>
                </c:pt>
                <c:pt idx="2">
                  <c:v>Turnaround</c:v>
                </c:pt>
                <c:pt idx="3">
                  <c:v>Strategic</c:v>
                </c:pt>
              </c:strCache>
            </c:strRef>
          </c:cat>
          <c:val>
            <c:numRef>
              <c:f>'DF7'!$B$6:$B$9</c:f>
              <c:numCache>
                <c:formatCode>0</c:formatCode>
                <c:ptCount val="4"/>
                <c:pt idx="0">
                  <c:v>4</c:v>
                </c:pt>
                <c:pt idx="1">
                  <c:v>4</c:v>
                </c:pt>
                <c:pt idx="2">
                  <c:v>2</c:v>
                </c:pt>
                <c:pt idx="3">
                  <c:v>5</c:v>
                </c:pt>
              </c:numCache>
            </c:numRef>
          </c:val>
          <c:extLst>
            <c:ext xmlns:c16="http://schemas.microsoft.com/office/drawing/2014/chart" uri="{C3380CC4-5D6E-409C-BE32-E72D297353CC}">
              <c16:uniqueId val="{00000008-F6F8-4F5B-90D7-71EC947DD2F5}"/>
            </c:ext>
          </c:extLst>
        </c:ser>
        <c:dLbls>
          <c:dLblPos val="outEnd"/>
          <c:showLegendKey val="0"/>
          <c:showVal val="1"/>
          <c:showCatName val="0"/>
          <c:showSerName val="0"/>
          <c:showPercent val="0"/>
          <c:showBubbleSize val="0"/>
        </c:dLbls>
        <c:gapWidth val="30"/>
        <c:axId val="129464960"/>
        <c:axId val="129479040"/>
      </c:barChart>
      <c:catAx>
        <c:axId val="129464960"/>
        <c:scaling>
          <c:orientation val="minMax"/>
        </c:scaling>
        <c:delete val="0"/>
        <c:axPos val="l"/>
        <c:numFmt formatCode="General" sourceLinked="1"/>
        <c:majorTickMark val="out"/>
        <c:minorTickMark val="cross"/>
        <c:tickLblPos val="nextTo"/>
        <c:crossAx val="129479040"/>
        <c:crosses val="autoZero"/>
        <c:auto val="1"/>
        <c:lblAlgn val="ctr"/>
        <c:lblOffset val="100"/>
        <c:noMultiLvlLbl val="1"/>
      </c:catAx>
      <c:valAx>
        <c:axId val="129479040"/>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cross"/>
        <c:tickLblPos val="nextTo"/>
        <c:crossAx val="12946496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B7-439D-B951-A54F82C6EE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B7-439D-B951-A54F82C6EE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B7-439D-B951-A54F82C6EE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'DF8'!$A$6:$A$8</c:f>
              <c:strCache>
                <c:ptCount val="3"/>
                <c:pt idx="0">
                  <c:v>Outsourcing</c:v>
                </c:pt>
                <c:pt idx="1">
                  <c:v>Cloud</c:v>
                </c:pt>
                <c:pt idx="2">
                  <c:v>Insourced</c:v>
                </c:pt>
              </c:strCache>
            </c:strRef>
          </c:cat>
          <c:val>
            <c:numRef>
              <c:f>'DF8'!$B$6:$B$8</c:f>
              <c:numCache>
                <c:formatCode>0%</c:formatCode>
                <c:ptCount val="3"/>
                <c:pt idx="0">
                  <c:v>0.30000000000000016</c:v>
                </c:pt>
                <c:pt idx="1">
                  <c:v>0.30000000000000016</c:v>
                </c:pt>
                <c:pt idx="2">
                  <c:v>0.4</c:v>
                </c:pt>
              </c:numCache>
            </c:numRef>
          </c:val>
          <c:extLst>
            <c:ext xmlns:c16="http://schemas.microsoft.com/office/drawing/2014/chart" uri="{C3380CC4-5D6E-409C-BE32-E72D297353CC}">
              <c16:uniqueId val="{00000006-DFB7-439D-B951-A54F82C6EE47}"/>
            </c:ext>
          </c:extLst>
        </c:ser>
        <c:dLbls>
          <c:showLegendKey val="1"/>
          <c:showVal val="1"/>
          <c:showCatName val="1"/>
          <c:showSerName val="1"/>
          <c:showPercent val="1"/>
          <c:showBubbleSize val="1"/>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D3-4931-9C1A-92828D9C1F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D3-4931-9C1A-92828D9C1F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D3-4931-9C1A-92828D9C1F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'DF9'!$A$6:$A$8</c:f>
              <c:strCache>
                <c:ptCount val="3"/>
                <c:pt idx="0">
                  <c:v>Agile</c:v>
                </c:pt>
                <c:pt idx="1">
                  <c:v>DevOps</c:v>
                </c:pt>
                <c:pt idx="2">
                  <c:v>Traditional</c:v>
                </c:pt>
              </c:strCache>
            </c:strRef>
          </c:cat>
          <c:val>
            <c:numRef>
              <c:f>'DF9'!$B$6:$B$8</c:f>
              <c:numCache>
                <c:formatCode>0%</c:formatCode>
                <c:ptCount val="3"/>
                <c:pt idx="0">
                  <c:v>0.9</c:v>
                </c:pt>
                <c:pt idx="1">
                  <c:v>0.1</c:v>
                </c:pt>
                <c:pt idx="2">
                  <c:v>0</c:v>
                </c:pt>
              </c:numCache>
            </c:numRef>
          </c:val>
          <c:extLst>
            <c:ext xmlns:c16="http://schemas.microsoft.com/office/drawing/2014/chart" uri="{C3380CC4-5D6E-409C-BE32-E72D297353CC}">
              <c16:uniqueId val="{00000006-9CD3-4931-9C1A-92828D9C1F37}"/>
            </c:ext>
          </c:extLst>
        </c:ser>
        <c:dLbls>
          <c:showLegendKey val="1"/>
          <c:showVal val="1"/>
          <c:showCatName val="1"/>
          <c:showSerName val="1"/>
          <c:showPercent val="1"/>
          <c:showBubbleSize val="1"/>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6.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8.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9.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0.01126</cdr:x>
      <cdr:y>0.01179</cdr:y>
    </cdr:from>
    <cdr:to>
      <cdr:x>0.13922</cdr:x>
      <cdr:y>0.04591</cdr:y>
    </cdr:to>
    <cdr:pic>
      <cdr:nvPicPr>
        <cdr:cNvPr id="5" name="Picture 4"/>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577128" cy="14700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0.00845</cdr:x>
      <cdr:y>0.0075</cdr:y>
    </cdr:from>
    <cdr:to>
      <cdr:x>0.1392</cdr:x>
      <cdr:y>0.03895</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5434" y="24060"/>
          <a:ext cx="393544" cy="10089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0.00825</cdr:x>
      <cdr:y>0.0094</cdr:y>
    </cdr:from>
    <cdr:to>
      <cdr:x>0.1323</cdr:x>
      <cdr:y>0.04765</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763581" cy="206718"/>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0.00839</cdr:x>
      <cdr:y>0.00589</cdr:y>
    </cdr:from>
    <cdr:to>
      <cdr:x>0.10367</cdr:x>
      <cdr:y>0.02295</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577128" cy="147006"/>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0.01306</cdr:x>
      <cdr:y>0.01154</cdr:y>
    </cdr:from>
    <cdr:to>
      <cdr:x>0.2044</cdr:x>
      <cdr:y>0.05978</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744166" cy="212349"/>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0.01145</cdr:x>
      <cdr:y>0.00984</cdr:y>
    </cdr:from>
    <cdr:to>
      <cdr:x>0.18825</cdr:x>
      <cdr:y>0.05107</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784107" cy="212842"/>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1.69334E-7</cdr:x>
      <cdr:y>0.0044</cdr:y>
    </cdr:from>
    <cdr:to>
      <cdr:x>0.12043</cdr:x>
      <cdr:y>0.06706</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12700"/>
          <a:ext cx="711200" cy="181041"/>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0.00962</cdr:x>
      <cdr:y>0.01298</cdr:y>
    </cdr:from>
    <cdr:to>
      <cdr:x>0.14459</cdr:x>
      <cdr:y>0.0601</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712904" cy="184428"/>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0.00594</cdr:x>
      <cdr:y>0.00628</cdr:y>
    </cdr:from>
    <cdr:to>
      <cdr:x>0.12116</cdr:x>
      <cdr:y>0.0245</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689" y="57856"/>
          <a:ext cx="711200" cy="16792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10</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ICIC Express Letters</vt:lpstr>
    </vt:vector>
  </TitlesOfParts>
  <Company/>
  <LinksUpToDate>false</LinksUpToDate>
  <CharactersWithSpaces>20417</CharactersWithSpaces>
  <SharedDoc>false</SharedDoc>
  <HLinks>
    <vt:vector size="18" baseType="variant">
      <vt:variant>
        <vt:i4>3604553</vt:i4>
      </vt:variant>
      <vt:variant>
        <vt:i4>6</vt:i4>
      </vt:variant>
      <vt:variant>
        <vt:i4>0</vt:i4>
      </vt:variant>
      <vt:variant>
        <vt:i4>5</vt:i4>
      </vt:variant>
      <vt:variant>
        <vt:lpwstr>mailto:agustinus.wijaya@uksw.edu</vt:lpwstr>
      </vt:variant>
      <vt:variant>
        <vt:lpwstr/>
      </vt:variant>
      <vt:variant>
        <vt:i4>7012430</vt:i4>
      </vt:variant>
      <vt:variant>
        <vt:i4>3</vt:i4>
      </vt:variant>
      <vt:variant>
        <vt:i4>0</vt:i4>
      </vt:variant>
      <vt:variant>
        <vt:i4>5</vt:i4>
      </vt:variant>
      <vt:variant>
        <vt:lpwstr>mailto:ardjo.anwars@polines.ac.id</vt:lpwstr>
      </vt:variant>
      <vt:variant>
        <vt:lpwstr/>
      </vt:variant>
      <vt:variant>
        <vt:i4>3604553</vt:i4>
      </vt:variant>
      <vt:variant>
        <vt:i4>0</vt:i4>
      </vt:variant>
      <vt:variant>
        <vt:i4>0</vt:i4>
      </vt:variant>
      <vt:variant>
        <vt:i4>5</vt:i4>
      </vt:variant>
      <vt:variant>
        <vt:lpwstr>mailto:agustinus.wijaya@uksw.edu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ICIC Express Letters</dc:title>
  <dc:subject/>
  <dc:creator>Agustinus Fritz Wijaya;Azty Acbarrifha Nour</dc:creator>
  <cp:keywords/>
  <cp:lastModifiedBy>User</cp:lastModifiedBy>
  <cp:revision>2</cp:revision>
  <cp:lastPrinted>2023-03-27T04:21:00Z</cp:lastPrinted>
  <dcterms:created xsi:type="dcterms:W3CDTF">2023-08-06T09:31:00Z</dcterms:created>
  <dcterms:modified xsi:type="dcterms:W3CDTF">2023-08-06T09:31:00Z</dcterms:modified>
</cp:coreProperties>
</file>