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E464B" w14:textId="77777777" w:rsidR="001D2D43" w:rsidRDefault="002D5FE3" w:rsidP="00AB17A8">
      <w:pPr>
        <w:spacing w:line="480" w:lineRule="auto"/>
        <w:jc w:val="center"/>
        <w:rPr>
          <w:b/>
          <w:bCs/>
        </w:rPr>
      </w:pPr>
      <w:r w:rsidRPr="00BA51D9">
        <w:rPr>
          <w:b/>
          <w:bCs/>
        </w:rPr>
        <w:t>TITLE PAGE</w:t>
      </w:r>
    </w:p>
    <w:p w14:paraId="7726D4E0" w14:textId="73FAD589" w:rsidR="002D5FE3" w:rsidRPr="004E3D1E" w:rsidRDefault="002D5FE3" w:rsidP="00AB17A8">
      <w:pPr>
        <w:spacing w:line="480" w:lineRule="auto"/>
        <w:jc w:val="center"/>
      </w:pPr>
      <w:r w:rsidRPr="00BA51D9">
        <w:br/>
      </w:r>
      <w:r w:rsidRPr="002D5FE3">
        <w:rPr>
          <w:b/>
          <w:bCs/>
        </w:rPr>
        <w:t xml:space="preserve">Smoke-Free by Tradition: Indonesia’s </w:t>
      </w:r>
      <w:r w:rsidR="006C2C39">
        <w:rPr>
          <w:b/>
          <w:bCs/>
        </w:rPr>
        <w:t>N</w:t>
      </w:r>
      <w:r w:rsidRPr="002D5FE3">
        <w:rPr>
          <w:b/>
          <w:bCs/>
        </w:rPr>
        <w:t>ative Tribe’s Unique Way of Life</w:t>
      </w:r>
    </w:p>
    <w:p w14:paraId="27C1804D" w14:textId="77777777" w:rsidR="002D5FE3" w:rsidRPr="004E3D1E" w:rsidRDefault="002D5FE3" w:rsidP="00AB17A8">
      <w:pPr>
        <w:spacing w:line="480" w:lineRule="auto"/>
        <w:jc w:val="center"/>
        <w:rPr>
          <w:vertAlign w:val="superscript"/>
        </w:rPr>
      </w:pPr>
      <w:r w:rsidRPr="004E3D1E">
        <w:t>Nurul Kodriati</w:t>
      </w:r>
      <w:r>
        <w:rPr>
          <w:vertAlign w:val="superscript"/>
        </w:rPr>
        <w:t>1,2</w:t>
      </w:r>
      <w:r w:rsidRPr="004E3D1E">
        <w:t>, Lucy Popova</w:t>
      </w:r>
      <w:r>
        <w:rPr>
          <w:vertAlign w:val="superscript"/>
        </w:rPr>
        <w:t>1</w:t>
      </w:r>
    </w:p>
    <w:p w14:paraId="4563C53E" w14:textId="59EF472E" w:rsidR="002D5FE3" w:rsidRPr="00002182" w:rsidRDefault="002D5FE3" w:rsidP="00AB17A8">
      <w:pPr>
        <w:pBdr>
          <w:top w:val="nil"/>
          <w:left w:val="nil"/>
          <w:bottom w:val="nil"/>
          <w:right w:val="nil"/>
          <w:between w:val="nil"/>
        </w:pBdr>
        <w:spacing w:after="0" w:line="480" w:lineRule="auto"/>
        <w:jc w:val="center"/>
        <w:rPr>
          <w:rFonts w:eastAsia="Cambria" w:cs="Cambria"/>
          <w:color w:val="000000"/>
          <w:highlight w:val="white"/>
        </w:rPr>
      </w:pPr>
      <w:r w:rsidRPr="00002182">
        <w:rPr>
          <w:rFonts w:eastAsia="Cambria" w:cs="Cambria"/>
          <w:color w:val="000000"/>
          <w:highlight w:val="white"/>
          <w:vertAlign w:val="superscript"/>
        </w:rPr>
        <w:t>1</w:t>
      </w:r>
      <w:r w:rsidR="00524206">
        <w:rPr>
          <w:rFonts w:eastAsia="Cambria" w:cs="Cambria"/>
          <w:color w:val="000000"/>
          <w:highlight w:val="white"/>
        </w:rPr>
        <w:t>Faculty</w:t>
      </w:r>
      <w:r w:rsidRPr="00002182">
        <w:rPr>
          <w:rFonts w:eastAsia="Cambria" w:cs="Cambria"/>
          <w:color w:val="000000"/>
          <w:highlight w:val="white"/>
        </w:rPr>
        <w:t xml:space="preserve"> of Public Health, University of Ahmad Dahlan, Yogyakarta, Indonesia</w:t>
      </w:r>
    </w:p>
    <w:p w14:paraId="1F92A900" w14:textId="77777777" w:rsidR="002D5FE3" w:rsidRPr="00002182" w:rsidRDefault="002D5FE3" w:rsidP="00AB17A8">
      <w:pPr>
        <w:spacing w:line="480" w:lineRule="auto"/>
        <w:jc w:val="center"/>
        <w:rPr>
          <w:rFonts w:eastAsia="Cambria" w:cs="Cambria"/>
        </w:rPr>
      </w:pPr>
      <w:r w:rsidRPr="00002182">
        <w:rPr>
          <w:rFonts w:eastAsia="Cambria" w:cs="Cambria"/>
          <w:color w:val="000000"/>
          <w:highlight w:val="white"/>
          <w:vertAlign w:val="superscript"/>
        </w:rPr>
        <w:t>2</w:t>
      </w:r>
      <w:r w:rsidRPr="00002182">
        <w:rPr>
          <w:rFonts w:eastAsia="Cambria" w:cs="Cambria"/>
          <w:highlight w:val="white"/>
        </w:rPr>
        <w:t>School of Public Health, Georgia State University, Atlanta, USA</w:t>
      </w:r>
    </w:p>
    <w:p w14:paraId="43EC49D4" w14:textId="77777777" w:rsidR="00B642F5" w:rsidRDefault="00B642F5" w:rsidP="00AB17A8">
      <w:pPr>
        <w:spacing w:line="480" w:lineRule="auto"/>
        <w:jc w:val="center"/>
        <w:rPr>
          <w:color w:val="000000" w:themeColor="text1"/>
        </w:rPr>
      </w:pPr>
    </w:p>
    <w:p w14:paraId="49E84B5A" w14:textId="78969558" w:rsidR="002D5FE3" w:rsidRPr="00BA51D9" w:rsidRDefault="002D5FE3" w:rsidP="00AB17A8">
      <w:pPr>
        <w:spacing w:line="480" w:lineRule="auto"/>
        <w:jc w:val="center"/>
        <w:rPr>
          <w:color w:val="000000" w:themeColor="text1"/>
        </w:rPr>
      </w:pPr>
      <w:r w:rsidRPr="00BA51D9">
        <w:rPr>
          <w:color w:val="000000" w:themeColor="text1"/>
        </w:rPr>
        <w:t xml:space="preserve">Corresponding author: </w:t>
      </w:r>
    </w:p>
    <w:p w14:paraId="6F9FA7D0" w14:textId="5AD92367" w:rsidR="002D5FE3" w:rsidRDefault="002D5FE3" w:rsidP="00AB17A8">
      <w:pPr>
        <w:spacing w:line="480" w:lineRule="auto"/>
        <w:jc w:val="center"/>
        <w:outlineLvl w:val="2"/>
        <w:rPr>
          <w:color w:val="000000" w:themeColor="text1"/>
        </w:rPr>
      </w:pPr>
      <w:r>
        <w:t>Nurul Kodriati</w:t>
      </w:r>
      <w:r w:rsidRPr="00BA51D9">
        <w:t>,</w:t>
      </w:r>
      <w:r w:rsidR="00B642F5">
        <w:t xml:space="preserve"> Email:</w:t>
      </w:r>
      <w:r w:rsidRPr="00BA51D9">
        <w:t xml:space="preserve"> </w:t>
      </w:r>
      <w:r w:rsidR="00B642F5">
        <w:t>nkodriati@gsu.edu</w:t>
      </w:r>
      <w:r w:rsidRPr="00BA51D9">
        <w:rPr>
          <w:color w:val="000000" w:themeColor="text1"/>
        </w:rPr>
        <w:t xml:space="preserve"> </w:t>
      </w:r>
    </w:p>
    <w:p w14:paraId="7222A56D" w14:textId="77777777" w:rsidR="00B642F5" w:rsidRPr="00AE5948" w:rsidRDefault="00B642F5" w:rsidP="00AB17A8">
      <w:pPr>
        <w:spacing w:line="480" w:lineRule="auto"/>
        <w:jc w:val="center"/>
        <w:outlineLvl w:val="2"/>
        <w:rPr>
          <w:color w:val="000000" w:themeColor="text1"/>
        </w:rPr>
      </w:pPr>
    </w:p>
    <w:p w14:paraId="5AF5DAE2" w14:textId="77777777" w:rsidR="002D5FE3" w:rsidRPr="00BA51D9" w:rsidRDefault="002D5FE3" w:rsidP="00AB17A8">
      <w:pPr>
        <w:spacing w:line="480" w:lineRule="auto"/>
        <w:jc w:val="center"/>
        <w:outlineLvl w:val="2"/>
        <w:rPr>
          <w:bCs/>
        </w:rPr>
      </w:pPr>
      <w:r w:rsidRPr="00BA51D9">
        <w:rPr>
          <w:bCs/>
        </w:rPr>
        <w:t>ORCID ID:</w:t>
      </w:r>
    </w:p>
    <w:p w14:paraId="01CB607F" w14:textId="77777777" w:rsidR="002D5FE3" w:rsidRPr="00BA51D9" w:rsidRDefault="002D5FE3" w:rsidP="00AB17A8">
      <w:pPr>
        <w:spacing w:line="480" w:lineRule="auto"/>
        <w:jc w:val="center"/>
        <w:outlineLvl w:val="2"/>
        <w:rPr>
          <w:bCs/>
          <w:color w:val="000000" w:themeColor="text1"/>
        </w:rPr>
      </w:pPr>
      <w:r w:rsidRPr="00BA51D9">
        <w:rPr>
          <w:bCs/>
          <w:color w:val="000000" w:themeColor="text1"/>
        </w:rPr>
        <w:t xml:space="preserve">Nurul Kodriati: </w:t>
      </w:r>
      <w:hyperlink r:id="rId8" w:history="1">
        <w:r w:rsidRPr="00BA51D9">
          <w:rPr>
            <w:rStyle w:val="Hyperlink"/>
            <w:bCs/>
          </w:rPr>
          <w:t>https://orcid.org/0000-0003-2417-3590</w:t>
        </w:r>
      </w:hyperlink>
    </w:p>
    <w:p w14:paraId="5A18666A" w14:textId="45488D87" w:rsidR="002D5FE3" w:rsidRPr="008E5009" w:rsidRDefault="008E5009" w:rsidP="00AB17A8">
      <w:pPr>
        <w:spacing w:line="480" w:lineRule="auto"/>
        <w:jc w:val="center"/>
        <w:outlineLvl w:val="2"/>
        <w:rPr>
          <w:color w:val="000000" w:themeColor="text1"/>
          <w:lang w:val="es-ES"/>
        </w:rPr>
      </w:pPr>
      <w:r w:rsidRPr="008E5009">
        <w:rPr>
          <w:lang w:val="es-ES"/>
        </w:rPr>
        <w:t>Lucy Popova</w:t>
      </w:r>
      <w:r>
        <w:rPr>
          <w:lang w:val="es-ES"/>
        </w:rPr>
        <w:t>:</w:t>
      </w:r>
      <w:r w:rsidRPr="008E5009">
        <w:rPr>
          <w:lang w:val="es-ES"/>
        </w:rPr>
        <w:t xml:space="preserve"> </w:t>
      </w:r>
      <w:r w:rsidR="00BF0C69" w:rsidRPr="008E5009">
        <w:rPr>
          <w:lang w:val="es-ES"/>
        </w:rPr>
        <w:t>https://orcid.org/0000-0002-3450-4579</w:t>
      </w:r>
    </w:p>
    <w:p w14:paraId="6546F393" w14:textId="554357CA" w:rsidR="002D5FE3" w:rsidRPr="0014108D" w:rsidRDefault="002D5FE3" w:rsidP="00AB17A8">
      <w:pPr>
        <w:spacing w:line="480" w:lineRule="auto"/>
        <w:jc w:val="center"/>
        <w:rPr>
          <w:rStyle w:val="Hyperlink"/>
          <w:lang w:val="es-ES"/>
        </w:rPr>
      </w:pPr>
    </w:p>
    <w:p w14:paraId="717F995E" w14:textId="77777777" w:rsidR="008E5009" w:rsidRPr="0014108D" w:rsidRDefault="008E5009" w:rsidP="00AB17A8">
      <w:pPr>
        <w:spacing w:line="480" w:lineRule="auto"/>
        <w:jc w:val="center"/>
        <w:rPr>
          <w:rStyle w:val="Hyperlink"/>
          <w:lang w:val="es-ES"/>
        </w:rPr>
      </w:pPr>
    </w:p>
    <w:p w14:paraId="01FE8FFA" w14:textId="77777777" w:rsidR="008E5009" w:rsidRPr="0014108D" w:rsidRDefault="008E5009" w:rsidP="00AB17A8">
      <w:pPr>
        <w:spacing w:line="480" w:lineRule="auto"/>
        <w:jc w:val="center"/>
        <w:rPr>
          <w:rStyle w:val="Hyperlink"/>
          <w:lang w:val="es-ES"/>
        </w:rPr>
        <w:sectPr w:rsidR="008E5009" w:rsidRPr="0014108D" w:rsidSect="00AB17A8">
          <w:pgSz w:w="12240" w:h="15840"/>
          <w:pgMar w:top="2835" w:right="1440" w:bottom="1440" w:left="2835" w:header="720" w:footer="720" w:gutter="0"/>
          <w:cols w:space="720"/>
          <w:docGrid w:linePitch="360"/>
        </w:sectPr>
      </w:pPr>
    </w:p>
    <w:p w14:paraId="20EF92D0" w14:textId="58EF095C" w:rsidR="000769E4" w:rsidRPr="00C77040" w:rsidRDefault="000769E4" w:rsidP="00AB17A8">
      <w:pPr>
        <w:spacing w:line="480" w:lineRule="auto"/>
        <w:jc w:val="center"/>
        <w:rPr>
          <w:b/>
          <w:bCs/>
        </w:rPr>
      </w:pPr>
      <w:r w:rsidRPr="00C77040">
        <w:rPr>
          <w:b/>
          <w:bCs/>
        </w:rPr>
        <w:lastRenderedPageBreak/>
        <w:t xml:space="preserve">Smoke-Free by Tradition: </w:t>
      </w:r>
      <w:r w:rsidR="00A747D3" w:rsidRPr="00C77040">
        <w:rPr>
          <w:b/>
          <w:bCs/>
        </w:rPr>
        <w:t xml:space="preserve">Indonesia’s native Tribe’s </w:t>
      </w:r>
      <w:r w:rsidRPr="00C77040">
        <w:rPr>
          <w:b/>
          <w:bCs/>
        </w:rPr>
        <w:t>Unique Way of Life</w:t>
      </w:r>
    </w:p>
    <w:p w14:paraId="2F0AEA0B" w14:textId="3D5558FB" w:rsidR="004E3D1E" w:rsidRPr="004E3D1E" w:rsidRDefault="004E3D1E" w:rsidP="00AB17A8">
      <w:pPr>
        <w:spacing w:line="480" w:lineRule="auto"/>
        <w:jc w:val="center"/>
        <w:rPr>
          <w:vertAlign w:val="superscript"/>
        </w:rPr>
      </w:pPr>
      <w:r w:rsidRPr="004E3D1E">
        <w:t>Nurul Kodriati</w:t>
      </w:r>
      <w:r>
        <w:rPr>
          <w:vertAlign w:val="superscript"/>
        </w:rPr>
        <w:t>1,2</w:t>
      </w:r>
      <w:r w:rsidRPr="004E3D1E">
        <w:t>, Lucy Popova</w:t>
      </w:r>
      <w:r>
        <w:rPr>
          <w:vertAlign w:val="superscript"/>
        </w:rPr>
        <w:t>1</w:t>
      </w:r>
    </w:p>
    <w:p w14:paraId="7FA5AD59" w14:textId="77777777" w:rsidR="00002182" w:rsidRPr="00002182" w:rsidRDefault="00002182" w:rsidP="00AB17A8">
      <w:pPr>
        <w:pBdr>
          <w:top w:val="nil"/>
          <w:left w:val="nil"/>
          <w:bottom w:val="nil"/>
          <w:right w:val="nil"/>
          <w:between w:val="nil"/>
        </w:pBdr>
        <w:spacing w:after="0" w:line="480" w:lineRule="auto"/>
        <w:jc w:val="center"/>
        <w:rPr>
          <w:rFonts w:eastAsia="Cambria" w:cs="Cambria"/>
          <w:color w:val="000000"/>
          <w:highlight w:val="white"/>
        </w:rPr>
      </w:pPr>
      <w:r w:rsidRPr="00002182">
        <w:rPr>
          <w:rFonts w:eastAsia="Cambria" w:cs="Cambria"/>
          <w:color w:val="000000"/>
          <w:highlight w:val="white"/>
          <w:vertAlign w:val="superscript"/>
        </w:rPr>
        <w:t>1</w:t>
      </w:r>
      <w:r w:rsidRPr="00002182">
        <w:rPr>
          <w:rFonts w:eastAsia="Cambria" w:cs="Cambria"/>
          <w:color w:val="000000"/>
          <w:highlight w:val="white"/>
        </w:rPr>
        <w:t>Departement of Public Health, University of Ahmad Dahlan, Yogyakarta, Indonesia</w:t>
      </w:r>
    </w:p>
    <w:p w14:paraId="42E9DDD2" w14:textId="11F8359B" w:rsidR="000769E4" w:rsidRPr="00002182" w:rsidRDefault="00002182" w:rsidP="00AB17A8">
      <w:pPr>
        <w:spacing w:line="480" w:lineRule="auto"/>
        <w:jc w:val="center"/>
        <w:rPr>
          <w:rFonts w:eastAsia="Cambria" w:cs="Cambria"/>
        </w:rPr>
      </w:pPr>
      <w:r w:rsidRPr="00002182">
        <w:rPr>
          <w:rFonts w:eastAsia="Cambria" w:cs="Cambria"/>
          <w:color w:val="000000"/>
          <w:highlight w:val="white"/>
          <w:vertAlign w:val="superscript"/>
        </w:rPr>
        <w:t>2</w:t>
      </w:r>
      <w:r w:rsidRPr="00002182">
        <w:rPr>
          <w:rFonts w:eastAsia="Cambria" w:cs="Cambria"/>
          <w:highlight w:val="white"/>
        </w:rPr>
        <w:t>School of Public Health, Georgia State University, Atlanta, USA</w:t>
      </w:r>
    </w:p>
    <w:p w14:paraId="6A0338AC" w14:textId="082C6E25" w:rsidR="00D34EEF" w:rsidRPr="00C77040" w:rsidRDefault="00D34EEF" w:rsidP="00AB17A8">
      <w:pPr>
        <w:spacing w:line="480" w:lineRule="auto"/>
        <w:rPr>
          <w:b/>
          <w:bCs/>
        </w:rPr>
      </w:pPr>
      <w:r w:rsidRPr="00C77040">
        <w:rPr>
          <w:b/>
          <w:bCs/>
        </w:rPr>
        <w:t>Abstract</w:t>
      </w:r>
    </w:p>
    <w:p w14:paraId="75EADE9B" w14:textId="6154B34D" w:rsidR="001E6FA3" w:rsidRDefault="001E6FA3" w:rsidP="00AB17A8">
      <w:pPr>
        <w:spacing w:line="480" w:lineRule="auto"/>
      </w:pPr>
      <w:r w:rsidRPr="001E6FA3">
        <w:t xml:space="preserve">The </w:t>
      </w:r>
      <w:proofErr w:type="spellStart"/>
      <w:r w:rsidRPr="001E6FA3">
        <w:t>Baduy</w:t>
      </w:r>
      <w:proofErr w:type="spellEnd"/>
      <w:r w:rsidR="00C9106D">
        <w:t xml:space="preserve"> are</w:t>
      </w:r>
      <w:r w:rsidRPr="001E6FA3">
        <w:t xml:space="preserve"> an indigenous Indonesian </w:t>
      </w:r>
      <w:r w:rsidR="00A36D6A">
        <w:t>tribe that</w:t>
      </w:r>
      <w:r w:rsidRPr="001E6FA3">
        <w:t xml:space="preserve"> </w:t>
      </w:r>
      <w:r w:rsidR="00A36D6A">
        <w:t>maintain</w:t>
      </w:r>
      <w:r w:rsidRPr="001E6FA3">
        <w:t xml:space="preserve"> a strict smoke-free lifestyle as part of their cultural and spiritual beliefs, </w:t>
      </w:r>
      <w:r w:rsidR="007E29C8">
        <w:t xml:space="preserve">in sharp </w:t>
      </w:r>
      <w:r w:rsidRPr="001E6FA3">
        <w:t xml:space="preserve">contrast with Indonesia's high smoking rates and tobacco-oriented culture. Guided by the </w:t>
      </w:r>
      <w:proofErr w:type="spellStart"/>
      <w:r w:rsidRPr="001E6FA3">
        <w:t>Pikukuh</w:t>
      </w:r>
      <w:proofErr w:type="spellEnd"/>
      <w:r w:rsidRPr="001E6FA3">
        <w:t xml:space="preserve">, a set of customary laws emphasizing purity and </w:t>
      </w:r>
      <w:r w:rsidR="008D1CBC">
        <w:t>conservation</w:t>
      </w:r>
      <w:r w:rsidRPr="001E6FA3">
        <w:t xml:space="preserve">, the Inner </w:t>
      </w:r>
      <w:proofErr w:type="spellStart"/>
      <w:r w:rsidRPr="001E6FA3">
        <w:t>Baduy</w:t>
      </w:r>
      <w:proofErr w:type="spellEnd"/>
      <w:r w:rsidRPr="001E6FA3">
        <w:t xml:space="preserve"> prohibit smoking entirely, while some Outer </w:t>
      </w:r>
      <w:proofErr w:type="spellStart"/>
      <w:r w:rsidRPr="001E6FA3">
        <w:t>Baduy</w:t>
      </w:r>
      <w:proofErr w:type="spellEnd"/>
      <w:r w:rsidRPr="001E6FA3">
        <w:t xml:space="preserve"> smoke minimally due to modern influences. This lifestyle </w:t>
      </w:r>
      <w:r w:rsidR="001B13D9">
        <w:t>provide</w:t>
      </w:r>
      <w:r w:rsidRPr="001E6FA3">
        <w:t xml:space="preserve">s a valuable public health </w:t>
      </w:r>
      <w:r w:rsidR="008472F1">
        <w:t>example of</w:t>
      </w:r>
      <w:r w:rsidRPr="001E6FA3">
        <w:t xml:space="preserve"> how </w:t>
      </w:r>
      <w:r w:rsidR="00A87942">
        <w:t>communal</w:t>
      </w:r>
      <w:r w:rsidRPr="001E6FA3">
        <w:t xml:space="preserve"> </w:t>
      </w:r>
      <w:r w:rsidR="00A87942">
        <w:t xml:space="preserve">traditions </w:t>
      </w:r>
      <w:r w:rsidRPr="001E6FA3">
        <w:t xml:space="preserve">can reduce smoking-related harm. By promoting a smoke-free environment, the </w:t>
      </w:r>
      <w:proofErr w:type="spellStart"/>
      <w:r w:rsidRPr="001E6FA3">
        <w:t>Baduy</w:t>
      </w:r>
      <w:proofErr w:type="spellEnd"/>
      <w:r w:rsidRPr="001E6FA3">
        <w:t xml:space="preserve"> provide a unique example for addressing Indonesia’s severe tobacco challenges and encourage healthier, sustainable living practices.</w:t>
      </w:r>
    </w:p>
    <w:p w14:paraId="64F1CFCC" w14:textId="0CEE69FD" w:rsidR="002C1B63" w:rsidRDefault="00F41F1D" w:rsidP="00AB17A8">
      <w:pPr>
        <w:spacing w:line="480" w:lineRule="auto"/>
      </w:pPr>
      <w:r>
        <w:rPr>
          <w:noProof/>
        </w:rPr>
        <mc:AlternateContent>
          <mc:Choice Requires="wps">
            <w:drawing>
              <wp:anchor distT="0" distB="0" distL="114300" distR="114300" simplePos="0" relativeHeight="251659264" behindDoc="0" locked="0" layoutInCell="1" allowOverlap="1" wp14:anchorId="3164CA68" wp14:editId="417A2681">
                <wp:simplePos x="0" y="0"/>
                <wp:positionH relativeFrom="column">
                  <wp:posOffset>-23854</wp:posOffset>
                </wp:positionH>
                <wp:positionV relativeFrom="paragraph">
                  <wp:posOffset>59332</wp:posOffset>
                </wp:positionV>
                <wp:extent cx="5883965" cy="2353586"/>
                <wp:effectExtent l="0" t="0" r="21590" b="27940"/>
                <wp:wrapNone/>
                <wp:docPr id="1297849" name="Text Box 1"/>
                <wp:cNvGraphicFramePr/>
                <a:graphic xmlns:a="http://schemas.openxmlformats.org/drawingml/2006/main">
                  <a:graphicData uri="http://schemas.microsoft.com/office/word/2010/wordprocessingShape">
                    <wps:wsp>
                      <wps:cNvSpPr txBox="1"/>
                      <wps:spPr>
                        <a:xfrm>
                          <a:off x="0" y="0"/>
                          <a:ext cx="5883965" cy="2353586"/>
                        </a:xfrm>
                        <a:prstGeom prst="rect">
                          <a:avLst/>
                        </a:prstGeom>
                        <a:solidFill>
                          <a:schemeClr val="lt1"/>
                        </a:solidFill>
                        <a:ln w="6350">
                          <a:solidFill>
                            <a:prstClr val="black"/>
                          </a:solidFill>
                        </a:ln>
                      </wps:spPr>
                      <wps:txbx>
                        <w:txbxContent>
                          <w:p w14:paraId="6819E4E9" w14:textId="77777777" w:rsidR="00AC115B" w:rsidRDefault="00F67A0B" w:rsidP="00AC115B">
                            <w:pPr>
                              <w:jc w:val="center"/>
                              <w:rPr>
                                <w:b/>
                                <w:bCs/>
                              </w:rPr>
                            </w:pPr>
                            <w:r w:rsidRPr="00AC115B">
                              <w:rPr>
                                <w:b/>
                                <w:bCs/>
                              </w:rPr>
                              <w:t>What this paper adds</w:t>
                            </w:r>
                            <w:r w:rsidR="00AC115B" w:rsidRPr="00AC115B">
                              <w:rPr>
                                <w:b/>
                                <w:bCs/>
                              </w:rPr>
                              <w:t>:</w:t>
                            </w:r>
                          </w:p>
                          <w:p w14:paraId="78845D74" w14:textId="4907074B" w:rsidR="00F67A0B" w:rsidRPr="00F67A0B" w:rsidRDefault="00F67A0B" w:rsidP="00AC115B">
                            <w:pPr>
                              <w:rPr>
                                <w:lang w:val="en-ID"/>
                              </w:rPr>
                            </w:pPr>
                            <w:r>
                              <w:br/>
                            </w:r>
                            <w:r>
                              <w:rPr>
                                <w:lang w:val="en-ID"/>
                              </w:rPr>
                              <w:t xml:space="preserve">1. </w:t>
                            </w:r>
                            <w:r w:rsidRPr="00F67A0B">
                              <w:rPr>
                                <w:b/>
                                <w:bCs/>
                                <w:lang w:val="en-ID"/>
                              </w:rPr>
                              <w:t>Alternative Health Model</w:t>
                            </w:r>
                            <w:r w:rsidRPr="00F67A0B">
                              <w:rPr>
                                <w:lang w:val="en-ID"/>
                              </w:rPr>
                              <w:t xml:space="preserve">: </w:t>
                            </w:r>
                            <w:proofErr w:type="spellStart"/>
                            <w:r w:rsidRPr="00F67A0B">
                              <w:rPr>
                                <w:lang w:val="en-ID"/>
                              </w:rPr>
                              <w:t>Baduy’s</w:t>
                            </w:r>
                            <w:proofErr w:type="spellEnd"/>
                            <w:r w:rsidRPr="00F67A0B">
                              <w:rPr>
                                <w:lang w:val="en-ID"/>
                              </w:rPr>
                              <w:t xml:space="preserve"> smoke-free lifestyle </w:t>
                            </w:r>
                            <w:r w:rsidR="007E29C8">
                              <w:rPr>
                                <w:lang w:val="en-ID"/>
                              </w:rPr>
                              <w:t>can serve as</w:t>
                            </w:r>
                            <w:r w:rsidR="007E29C8" w:rsidRPr="00F67A0B">
                              <w:rPr>
                                <w:lang w:val="en-ID"/>
                              </w:rPr>
                              <w:t xml:space="preserve"> </w:t>
                            </w:r>
                            <w:r w:rsidRPr="00F67A0B">
                              <w:rPr>
                                <w:lang w:val="en-ID"/>
                              </w:rPr>
                              <w:t xml:space="preserve">a community-driven approach to public health, offering insights into culturally rooted </w:t>
                            </w:r>
                            <w:r w:rsidR="00C23C4A">
                              <w:rPr>
                                <w:lang w:val="en-ID"/>
                              </w:rPr>
                              <w:t>approach</w:t>
                            </w:r>
                            <w:r w:rsidR="00A14EDA">
                              <w:rPr>
                                <w:lang w:val="en-ID"/>
                              </w:rPr>
                              <w:t>e</w:t>
                            </w:r>
                            <w:r w:rsidRPr="00F67A0B">
                              <w:rPr>
                                <w:lang w:val="en-ID"/>
                              </w:rPr>
                              <w:t>s for reducing smoking in Indonesia.</w:t>
                            </w:r>
                          </w:p>
                          <w:p w14:paraId="09021265" w14:textId="1E328B82" w:rsidR="00F67A0B" w:rsidRPr="00F67A0B" w:rsidRDefault="00F67A0B" w:rsidP="00F67A0B">
                            <w:r>
                              <w:t xml:space="preserve">2. </w:t>
                            </w:r>
                            <w:r w:rsidRPr="00F67A0B">
                              <w:rPr>
                                <w:b/>
                                <w:bCs/>
                              </w:rPr>
                              <w:t>Contrast to National Tobacco Culture</w:t>
                            </w:r>
                            <w:r w:rsidRPr="00F67A0B">
                              <w:t xml:space="preserve">: </w:t>
                            </w:r>
                            <w:proofErr w:type="spellStart"/>
                            <w:r w:rsidR="007E29C8">
                              <w:t>Baduy</w:t>
                            </w:r>
                            <w:proofErr w:type="spellEnd"/>
                            <w:r w:rsidR="007E29C8">
                              <w:t xml:space="preserve"> culture is</w:t>
                            </w:r>
                            <w:r w:rsidR="007E29C8" w:rsidRPr="00F67A0B">
                              <w:t xml:space="preserve"> </w:t>
                            </w:r>
                            <w:r w:rsidRPr="00F67A0B">
                              <w:t>a unique contrast to Indonesia’s high smoking rates and tobacco</w:t>
                            </w:r>
                            <w:r w:rsidR="001974D1">
                              <w:t xml:space="preserve"> </w:t>
                            </w:r>
                            <w:r w:rsidRPr="00F67A0B">
                              <w:t xml:space="preserve">culture, challenging mainstream norms and offering an example of </w:t>
                            </w:r>
                            <w:r w:rsidR="003B2FF6">
                              <w:t xml:space="preserve">a </w:t>
                            </w:r>
                            <w:r w:rsidRPr="00F67A0B">
                              <w:t xml:space="preserve">sustainable, health-focused </w:t>
                            </w:r>
                            <w:r w:rsidR="007E25EC">
                              <w:t>lifestyle</w:t>
                            </w:r>
                            <w:r w:rsidRPr="00F67A0B">
                              <w:t>.</w:t>
                            </w:r>
                          </w:p>
                          <w:p w14:paraId="2F886BDB" w14:textId="4CA0A68C" w:rsidR="00F67A0B" w:rsidRPr="00F67A0B" w:rsidRDefault="00F67A0B" w:rsidP="00F67A0B">
                            <w:r>
                              <w:t xml:space="preserve">3. </w:t>
                            </w:r>
                            <w:r w:rsidRPr="00F67A0B">
                              <w:rPr>
                                <w:b/>
                                <w:bCs/>
                              </w:rPr>
                              <w:t>Policy Inspiration</w:t>
                            </w:r>
                            <w:r w:rsidRPr="00F67A0B">
                              <w:t xml:space="preserve">: Baduy’s practices could inform policies for creating </w:t>
                            </w:r>
                            <w:r w:rsidR="007E29C8">
                              <w:t>tobacco</w:t>
                            </w:r>
                            <w:r w:rsidRPr="00F67A0B">
                              <w:t xml:space="preserve">-free areas </w:t>
                            </w:r>
                            <w:r w:rsidR="00E00E02">
                              <w:t xml:space="preserve">in </w:t>
                            </w:r>
                            <w:r w:rsidR="00AB792A">
                              <w:t>Indigenous people’s areas</w:t>
                            </w:r>
                            <w:r w:rsidR="007E29C8">
                              <w:t>.</w:t>
                            </w:r>
                          </w:p>
                          <w:p w14:paraId="08E6F203" w14:textId="1F9E8F1F" w:rsidR="00F41F1D" w:rsidRDefault="00F41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4CA68" id="_x0000_t202" coordsize="21600,21600" o:spt="202" path="m,l,21600r21600,l21600,xe">
                <v:stroke joinstyle="miter"/>
                <v:path gradientshapeok="t" o:connecttype="rect"/>
              </v:shapetype>
              <v:shape id="Text Box 1" o:spid="_x0000_s1026" type="#_x0000_t202" style="position:absolute;margin-left:-1.9pt;margin-top:4.65pt;width:463.3pt;height:18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" fillcolor="white [3201]" strokeweight=".5pt">
                <v:textbox>
                  <w:txbxContent>
                    <w:p w14:paraId="6819E4E9" w14:textId="77777777" w:rsidR="00AC115B" w:rsidRDefault="00F67A0B" w:rsidP="00AC115B">
                      <w:pPr>
                        <w:jc w:val="center"/>
                        <w:rPr>
                          <w:b/>
                          <w:bCs/>
                        </w:rPr>
                      </w:pPr>
                      <w:r w:rsidRPr="00AC115B">
                        <w:rPr>
                          <w:b/>
                          <w:bCs/>
                        </w:rPr>
                        <w:t>What this paper adds</w:t>
                      </w:r>
                      <w:r w:rsidR="00AC115B" w:rsidRPr="00AC115B">
                        <w:rPr>
                          <w:b/>
                          <w:bCs/>
                        </w:rPr>
                        <w:t>:</w:t>
                      </w:r>
                    </w:p>
                    <w:p w14:paraId="78845D74" w14:textId="4907074B" w:rsidR="00F67A0B" w:rsidRPr="00F67A0B" w:rsidRDefault="00F67A0B" w:rsidP="00AC115B">
                      <w:pPr>
                        <w:rPr>
                          <w:lang w:val="en-ID"/>
                        </w:rPr>
                      </w:pPr>
                      <w:r>
                        <w:br/>
                      </w:r>
                      <w:r>
                        <w:rPr>
                          <w:lang w:val="en-ID"/>
                        </w:rPr>
                        <w:t xml:space="preserve">1. </w:t>
                      </w:r>
                      <w:r w:rsidRPr="00F67A0B">
                        <w:rPr>
                          <w:b/>
                          <w:bCs/>
                          <w:lang w:val="en-ID"/>
                        </w:rPr>
                        <w:t>Alternative Health Model</w:t>
                      </w:r>
                      <w:r w:rsidRPr="00F67A0B">
                        <w:rPr>
                          <w:lang w:val="en-ID"/>
                        </w:rPr>
                        <w:t xml:space="preserve">: </w:t>
                      </w:r>
                      <w:proofErr w:type="spellStart"/>
                      <w:r w:rsidRPr="00F67A0B">
                        <w:rPr>
                          <w:lang w:val="en-ID"/>
                        </w:rPr>
                        <w:t>Baduy’s</w:t>
                      </w:r>
                      <w:proofErr w:type="spellEnd"/>
                      <w:r w:rsidRPr="00F67A0B">
                        <w:rPr>
                          <w:lang w:val="en-ID"/>
                        </w:rPr>
                        <w:t xml:space="preserve"> smoke-free lifestyle </w:t>
                      </w:r>
                      <w:r w:rsidR="007E29C8">
                        <w:rPr>
                          <w:lang w:val="en-ID"/>
                        </w:rPr>
                        <w:t>can serve as</w:t>
                      </w:r>
                      <w:r w:rsidR="007E29C8" w:rsidRPr="00F67A0B">
                        <w:rPr>
                          <w:lang w:val="en-ID"/>
                        </w:rPr>
                        <w:t xml:space="preserve"> </w:t>
                      </w:r>
                      <w:r w:rsidRPr="00F67A0B">
                        <w:rPr>
                          <w:lang w:val="en-ID"/>
                        </w:rPr>
                        <w:t xml:space="preserve">a community-driven approach to public health, offering insights into culturally rooted </w:t>
                      </w:r>
                      <w:r w:rsidR="00C23C4A">
                        <w:rPr>
                          <w:lang w:val="en-ID"/>
                        </w:rPr>
                        <w:t>approach</w:t>
                      </w:r>
                      <w:r w:rsidR="00A14EDA">
                        <w:rPr>
                          <w:lang w:val="en-ID"/>
                        </w:rPr>
                        <w:t>e</w:t>
                      </w:r>
                      <w:r w:rsidRPr="00F67A0B">
                        <w:rPr>
                          <w:lang w:val="en-ID"/>
                        </w:rPr>
                        <w:t>s for reducing smoking in Indonesia.</w:t>
                      </w:r>
                    </w:p>
                    <w:p w14:paraId="09021265" w14:textId="1E328B82" w:rsidR="00F67A0B" w:rsidRPr="00F67A0B" w:rsidRDefault="00F67A0B" w:rsidP="00F67A0B">
                      <w:r>
                        <w:t xml:space="preserve">2. </w:t>
                      </w:r>
                      <w:r w:rsidRPr="00F67A0B">
                        <w:rPr>
                          <w:b/>
                          <w:bCs/>
                        </w:rPr>
                        <w:t>Contrast to National Tobacco Culture</w:t>
                      </w:r>
                      <w:r w:rsidRPr="00F67A0B">
                        <w:t xml:space="preserve">: </w:t>
                      </w:r>
                      <w:proofErr w:type="spellStart"/>
                      <w:r w:rsidR="007E29C8">
                        <w:t>Baduy</w:t>
                      </w:r>
                      <w:proofErr w:type="spellEnd"/>
                      <w:r w:rsidR="007E29C8">
                        <w:t xml:space="preserve"> culture is</w:t>
                      </w:r>
                      <w:r w:rsidR="007E29C8" w:rsidRPr="00F67A0B">
                        <w:t xml:space="preserve"> </w:t>
                      </w:r>
                      <w:r w:rsidRPr="00F67A0B">
                        <w:t>a unique contrast to Indonesia’s high smoking rates and tobacco</w:t>
                      </w:r>
                      <w:r w:rsidR="001974D1">
                        <w:t xml:space="preserve"> </w:t>
                      </w:r>
                      <w:r w:rsidRPr="00F67A0B">
                        <w:t xml:space="preserve">culture, challenging mainstream norms and offering an example of </w:t>
                      </w:r>
                      <w:r w:rsidR="003B2FF6">
                        <w:t xml:space="preserve">a </w:t>
                      </w:r>
                      <w:r w:rsidRPr="00F67A0B">
                        <w:t xml:space="preserve">sustainable, health-focused </w:t>
                      </w:r>
                      <w:r w:rsidR="007E25EC">
                        <w:t>lifestyle</w:t>
                      </w:r>
                      <w:r w:rsidRPr="00F67A0B">
                        <w:t>.</w:t>
                      </w:r>
                    </w:p>
                    <w:p w14:paraId="2F886BDB" w14:textId="4CA0A68C" w:rsidR="00F67A0B" w:rsidRPr="00F67A0B" w:rsidRDefault="00F67A0B" w:rsidP="00F67A0B">
                      <w:r>
                        <w:t xml:space="preserve">3. </w:t>
                      </w:r>
                      <w:r w:rsidRPr="00F67A0B">
                        <w:rPr>
                          <w:b/>
                          <w:bCs/>
                        </w:rPr>
                        <w:t>Policy Inspiration</w:t>
                      </w:r>
                      <w:r w:rsidRPr="00F67A0B">
                        <w:t xml:space="preserve">: Baduy’s practices could inform policies for creating </w:t>
                      </w:r>
                      <w:r w:rsidR="007E29C8">
                        <w:t>tobacco</w:t>
                      </w:r>
                      <w:r w:rsidRPr="00F67A0B">
                        <w:t xml:space="preserve">-free areas </w:t>
                      </w:r>
                      <w:r w:rsidR="00E00E02">
                        <w:t xml:space="preserve">in </w:t>
                      </w:r>
                      <w:r w:rsidR="00AB792A">
                        <w:t>Indigenous people’s areas</w:t>
                      </w:r>
                      <w:r w:rsidR="007E29C8">
                        <w:t>.</w:t>
                      </w:r>
                    </w:p>
                    <w:p w14:paraId="08E6F203" w14:textId="1F9E8F1F" w:rsidR="00F41F1D" w:rsidRDefault="00F41F1D"/>
                  </w:txbxContent>
                </v:textbox>
              </v:shape>
            </w:pict>
          </mc:Fallback>
        </mc:AlternateContent>
      </w:r>
    </w:p>
    <w:p w14:paraId="256D979B" w14:textId="77777777" w:rsidR="002C1B63" w:rsidRDefault="002C1B63" w:rsidP="00AB17A8">
      <w:pPr>
        <w:spacing w:line="480" w:lineRule="auto"/>
      </w:pPr>
    </w:p>
    <w:p w14:paraId="43313E91" w14:textId="77777777" w:rsidR="002C1B63" w:rsidRDefault="002C1B63" w:rsidP="00AB17A8">
      <w:pPr>
        <w:spacing w:line="480" w:lineRule="auto"/>
      </w:pPr>
    </w:p>
    <w:p w14:paraId="78C1787B" w14:textId="77777777" w:rsidR="002C1B63" w:rsidRDefault="002C1B63" w:rsidP="00AB17A8">
      <w:pPr>
        <w:spacing w:line="480" w:lineRule="auto"/>
      </w:pPr>
    </w:p>
    <w:p w14:paraId="4F9B151A" w14:textId="507F3890" w:rsidR="00C56C10" w:rsidRDefault="00C56C10" w:rsidP="00AB17A8">
      <w:pPr>
        <w:spacing w:line="480" w:lineRule="auto"/>
      </w:pPr>
      <w:r w:rsidRPr="00C56C10">
        <w:lastRenderedPageBreak/>
        <w:t xml:space="preserve">The </w:t>
      </w:r>
      <w:proofErr w:type="spellStart"/>
      <w:r w:rsidRPr="00C56C10">
        <w:t>Baduy</w:t>
      </w:r>
      <w:proofErr w:type="spellEnd"/>
      <w:r w:rsidRPr="00C56C10">
        <w:t xml:space="preserve"> ethnic group, an indigenous community in Indonesia, is renowned for its dedication to traditional practices and ancestral values</w:t>
      </w:r>
      <w:r w:rsidR="00300A2B">
        <w:t>.</w:t>
      </w:r>
      <w:r w:rsidR="007E4FCD">
        <w:fldChar w:fldCharType="begin"/>
      </w:r>
      <w:r w:rsidR="007E4FCD">
        <w:instrText xml:space="preserve"> ADDIN EN.CITE &lt;EndNote&gt;&lt;Cite&gt;&lt;Author&gt;As&lt;/Author&gt;&lt;Year&gt;2020&lt;/Year&gt;&lt;RecNum&gt;60&lt;/RecNum&gt;&lt;DisplayText&gt;&lt;style face="superscript"&gt;1&lt;/style&gt;&lt;/DisplayText&gt;&lt;record&gt;&lt;rec-number&gt;60&lt;/rec-number&gt;&lt;foreign-keys&gt;&lt;key app="EN" db-id="rv99xx29i29az8e9w2sve9dme5r9stp9a205" timestamp="1730301898"&gt;60&lt;/key&gt;&lt;/foreign-keys&gt;&lt;ref-type name="Journal Article"&gt;17&lt;/ref-type&gt;&lt;contributors&gt;&lt;authors&gt;&lt;author&gt;As, Enjang&lt;/author&gt;&lt;author&gt;Aliyudin, Mukhlis&lt;/author&gt;&lt;author&gt;Nurdin, Farid Soleh&lt;/author&gt;&lt;author&gt;Laksana, Sitta Resmiyanti&lt;/author&gt;&lt;author&gt;Azis, Widodo Dwi Ismail&lt;/author&gt;&lt;/authors&gt;&lt;/contributors&gt;&lt;titles&gt;&lt;title&gt;Sunda Wiwitan: The Belief System of Baduy Indigenous Community, Banten, Indonesia&lt;/title&gt;&lt;secondary-title&gt;Wawasan: Jurnal Ilmiah Agama dan Sosial Budaya&lt;/secondary-title&gt;&lt;/titles&gt;&lt;periodical&gt;&lt;full-title&gt;Wawasan: Jurnal Ilmiah Agama dan Sosial Budaya&lt;/full-title&gt;&lt;/periodical&gt;&lt;pages&gt;77-95&lt;/pages&gt;&lt;volume&gt;5&lt;/volume&gt;&lt;number&gt;1&lt;/number&gt;&lt;dates&gt;&lt;year&gt;2020&lt;/year&gt;&lt;/dates&gt;&lt;urls&gt;&lt;/urls&gt;&lt;electronic-resource-num&gt;https://doi.org/10.15575/jw.v5i1.8069&lt;/electronic-resource-num&gt;&lt;/record&gt;&lt;/Cite&gt;&lt;/EndNote&gt;</w:instrText>
      </w:r>
      <w:r w:rsidR="007E4FCD">
        <w:fldChar w:fldCharType="separate"/>
      </w:r>
      <w:r w:rsidR="007E4FCD" w:rsidRPr="007E4FCD">
        <w:rPr>
          <w:noProof/>
          <w:vertAlign w:val="superscript"/>
        </w:rPr>
        <w:t>1</w:t>
      </w:r>
      <w:r w:rsidR="007E4FCD">
        <w:fldChar w:fldCharType="end"/>
      </w:r>
      <w:r w:rsidRPr="00C56C10">
        <w:t xml:space="preserve"> Located in Banten Province, about 120 kilometers from Jakarta, the </w:t>
      </w:r>
      <w:proofErr w:type="spellStart"/>
      <w:r w:rsidRPr="00C56C10">
        <w:t>Baduy</w:t>
      </w:r>
      <w:proofErr w:type="spellEnd"/>
      <w:r w:rsidRPr="00C56C10">
        <w:t xml:space="preserve"> people lead a strict, traditional lifestyle that contrasts sharply with </w:t>
      </w:r>
      <w:r w:rsidR="002C3E9E">
        <w:t>contemporary life</w:t>
      </w:r>
      <w:r w:rsidR="00EC3D6C">
        <w:t>.</w:t>
      </w:r>
      <w:r w:rsidRPr="00C56C10">
        <w:t xml:space="preserve"> The </w:t>
      </w:r>
      <w:proofErr w:type="spellStart"/>
      <w:r w:rsidRPr="00C56C10">
        <w:t>Baduy</w:t>
      </w:r>
      <w:proofErr w:type="spellEnd"/>
      <w:r w:rsidRPr="00C56C10">
        <w:t xml:space="preserve"> community is divided into two groups—Inner </w:t>
      </w:r>
      <w:proofErr w:type="spellStart"/>
      <w:r w:rsidRPr="00C56C10">
        <w:t>Baduy</w:t>
      </w:r>
      <w:proofErr w:type="spellEnd"/>
      <w:r w:rsidRPr="00C56C10">
        <w:t xml:space="preserve"> and Outer </w:t>
      </w:r>
      <w:proofErr w:type="spellStart"/>
      <w:r w:rsidRPr="00C56C10">
        <w:t>Baduy</w:t>
      </w:r>
      <w:proofErr w:type="spellEnd"/>
      <w:r w:rsidRPr="00C56C10">
        <w:t xml:space="preserve">—and is believed to have descended from the Sundanese people, </w:t>
      </w:r>
      <w:r w:rsidR="008F3B65">
        <w:t xml:space="preserve">an </w:t>
      </w:r>
      <w:r w:rsidR="008F3B65" w:rsidRPr="008F3B65">
        <w:t>ethnic group native to the western part of the island of Java</w:t>
      </w:r>
      <w:r w:rsidR="008F3B65">
        <w:t xml:space="preserve">, </w:t>
      </w:r>
      <w:r w:rsidRPr="00C56C10">
        <w:t xml:space="preserve">who withdrew into Banten's mountainous regions in the 16th century to preserve their beliefs from the growing influence of Islam. The Outer </w:t>
      </w:r>
      <w:proofErr w:type="spellStart"/>
      <w:r w:rsidRPr="00C56C10">
        <w:t>Baduy</w:t>
      </w:r>
      <w:proofErr w:type="spellEnd"/>
      <w:r w:rsidRPr="00C56C10">
        <w:t xml:space="preserve"> serve as a buffer to prevent visitors from entering the Inner </w:t>
      </w:r>
      <w:proofErr w:type="spellStart"/>
      <w:r w:rsidRPr="00C56C10">
        <w:t>Baduy’s</w:t>
      </w:r>
      <w:proofErr w:type="spellEnd"/>
      <w:r w:rsidRPr="00C56C10">
        <w:t xml:space="preserve"> sacred areas. This outer region contains more villages, where modern amenities, such as </w:t>
      </w:r>
      <w:r w:rsidR="0059164A">
        <w:t>electronic devices,</w:t>
      </w:r>
      <w:r w:rsidRPr="00C56C10">
        <w:t xml:space="preserve"> modern clothing, and small-scale trade, are more acceptable</w:t>
      </w:r>
      <w:r w:rsidR="00300A2B">
        <w:t>.</w:t>
      </w:r>
      <w:r w:rsidR="006B1645">
        <w:fldChar w:fldCharType="begin"/>
      </w:r>
      <w:r w:rsidR="006B1645">
        <w:instrText xml:space="preserve"> ADDIN EN.CITE &lt;EndNote&gt;&lt;Cite&gt;&lt;Author&gt;Mirajiani&lt;/Author&gt;&lt;Year&gt;2019&lt;/Year&gt;&lt;RecNum&gt;58&lt;/RecNum&gt;&lt;DisplayText&gt;&lt;style face="superscript"&gt;2&lt;/style&gt;&lt;/DisplayText&gt;&lt;record&gt;&lt;rec-number&gt;58&lt;/rec-number&gt;&lt;foreign-keys&gt;&lt;key app="EN" db-id="rv99xx29i29az8e9w2sve9dme5r9stp9a205" timestamp="1730300251"&gt;58&lt;/key&gt;&lt;/foreign-keys&gt;&lt;ref-type name="Journal Article"&gt;17&lt;/ref-type&gt;&lt;contributors&gt;&lt;authors&gt;&lt;author&gt;Mirajiani,&lt;/author&gt;&lt;author&gt;Sulaeni,&lt;/author&gt;&lt;author&gt;Sutisna, T.&lt;/author&gt;&lt;/authors&gt;&lt;/contributors&gt;&lt;titles&gt;&lt;title&gt;The local farming system based on custom and tradition to achieve sustainable agriculture in Baduy indigenous community&lt;/title&gt;&lt;secondary-title&gt;IOP Conference Series: Earth and Environmental Science&lt;/secondary-title&gt;&lt;/titles&gt;&lt;periodical&gt;&lt;full-title&gt;IOP Conference Series: Earth and Environmental Science&lt;/full-title&gt;&lt;/periodical&gt;&lt;pages&gt;012032&lt;/pages&gt;&lt;volume&gt;383&lt;/volume&gt;&lt;number&gt;1&lt;/number&gt;&lt;dates&gt;&lt;year&gt;2019&lt;/year&gt;&lt;pub-dates&gt;&lt;date&gt;2019/11/01&lt;/date&gt;&lt;/pub-dates&gt;&lt;/dates&gt;&lt;publisher&gt;IOP Publishing&lt;/publisher&gt;&lt;isbn&gt;1755-1315&amp;#xD;1755-1307&lt;/isbn&gt;&lt;urls&gt;&lt;related-urls&gt;&lt;url&gt;https://dx.doi.org/10.1088/1755-1315/383/1/012032&lt;/url&gt;&lt;/related-urls&gt;&lt;/urls&gt;&lt;electronic-resource-num&gt;10.1088/1755-1315/383/1/012032&lt;/electronic-resource-num&gt;&lt;/record&gt;&lt;/Cite&gt;&lt;/EndNote&gt;</w:instrText>
      </w:r>
      <w:r w:rsidR="006B1645">
        <w:fldChar w:fldCharType="separate"/>
      </w:r>
      <w:r w:rsidR="006B1645" w:rsidRPr="006B1645">
        <w:rPr>
          <w:noProof/>
          <w:vertAlign w:val="superscript"/>
        </w:rPr>
        <w:t>2</w:t>
      </w:r>
      <w:r w:rsidR="006B1645">
        <w:fldChar w:fldCharType="end"/>
      </w:r>
      <w:r w:rsidRPr="00C56C10">
        <w:t xml:space="preserve"> </w:t>
      </w:r>
      <w:r w:rsidR="000769E4">
        <w:t xml:space="preserve">Figure 1 shows the houses in </w:t>
      </w:r>
      <w:r w:rsidR="00B62BAB">
        <w:t xml:space="preserve">Outer </w:t>
      </w:r>
      <w:proofErr w:type="spellStart"/>
      <w:r w:rsidR="000769E4">
        <w:t>Baduy</w:t>
      </w:r>
      <w:proofErr w:type="spellEnd"/>
      <w:r w:rsidR="000769E4">
        <w:t xml:space="preserve">. </w:t>
      </w:r>
    </w:p>
    <w:p w14:paraId="598EA323" w14:textId="77777777" w:rsidR="000769E4" w:rsidRPr="00721881" w:rsidRDefault="000769E4" w:rsidP="00AB17A8">
      <w:pPr>
        <w:spacing w:line="480" w:lineRule="auto"/>
      </w:pPr>
      <w:r w:rsidRPr="00721881">
        <w:rPr>
          <w:noProof/>
        </w:rPr>
        <w:lastRenderedPageBreak/>
        <w:drawing>
          <wp:inline distT="0" distB="0" distL="0" distR="0" wp14:anchorId="5CD080CD" wp14:editId="45EA2D96">
            <wp:extent cx="5810250" cy="3270749"/>
            <wp:effectExtent l="0" t="0" r="0" b="6350"/>
            <wp:docPr id="115737736" name="Picture 2" descr="A row of houses in the woo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7736" name="Picture 2" descr="A row of houses in the wood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7851" cy="3275028"/>
                    </a:xfrm>
                    <a:prstGeom prst="rect">
                      <a:avLst/>
                    </a:prstGeom>
                    <a:noFill/>
                    <a:ln>
                      <a:noFill/>
                    </a:ln>
                  </pic:spPr>
                </pic:pic>
              </a:graphicData>
            </a:graphic>
          </wp:inline>
        </w:drawing>
      </w:r>
    </w:p>
    <w:p w14:paraId="01C0B93A" w14:textId="3E6EBF0A" w:rsidR="000769E4" w:rsidRDefault="00CE690E" w:rsidP="00AB17A8">
      <w:pPr>
        <w:spacing w:line="480" w:lineRule="auto"/>
      </w:pPr>
      <w:r>
        <w:t>Fig</w:t>
      </w:r>
      <w:r w:rsidR="000769E4">
        <w:t xml:space="preserve">ure 1. Houses in </w:t>
      </w:r>
      <w:r w:rsidR="00B62BAB">
        <w:t xml:space="preserve">Outer </w:t>
      </w:r>
      <w:proofErr w:type="spellStart"/>
      <w:r w:rsidR="000769E4">
        <w:t>Baduy</w:t>
      </w:r>
      <w:proofErr w:type="spellEnd"/>
      <w:r w:rsidR="000769E4">
        <w:t xml:space="preserve"> </w:t>
      </w:r>
      <w:r w:rsidR="001E3C11">
        <w:t>(Photo by Any Sundar</w:t>
      </w:r>
      <w:r w:rsidR="00D560ED">
        <w:t>i</w:t>
      </w:r>
      <w:r w:rsidR="001E3C11">
        <w:t>)</w:t>
      </w:r>
    </w:p>
    <w:p w14:paraId="0381E3B7" w14:textId="0EFA8C7A" w:rsidR="00D87DFE" w:rsidRDefault="00C56C10" w:rsidP="00AB17A8">
      <w:pPr>
        <w:spacing w:line="480" w:lineRule="auto"/>
      </w:pPr>
      <w:r w:rsidRPr="00C56C10">
        <w:t xml:space="preserve">The Inner </w:t>
      </w:r>
      <w:proofErr w:type="spellStart"/>
      <w:r w:rsidRPr="00C56C10">
        <w:t>Baduy</w:t>
      </w:r>
      <w:proofErr w:type="spellEnd"/>
      <w:r w:rsidRPr="00C56C10">
        <w:t xml:space="preserve">, residing in the villages of </w:t>
      </w:r>
      <w:proofErr w:type="spellStart"/>
      <w:r w:rsidRPr="00C56C10">
        <w:t>Cibeo</w:t>
      </w:r>
      <w:proofErr w:type="spellEnd"/>
      <w:r w:rsidRPr="00C56C10">
        <w:t xml:space="preserve">, </w:t>
      </w:r>
      <w:proofErr w:type="spellStart"/>
      <w:r w:rsidRPr="00C56C10">
        <w:t>Cikertawana</w:t>
      </w:r>
      <w:proofErr w:type="spellEnd"/>
      <w:r w:rsidRPr="00C56C10">
        <w:t xml:space="preserve">, and </w:t>
      </w:r>
      <w:proofErr w:type="spellStart"/>
      <w:r w:rsidRPr="00C56C10">
        <w:t>Cikeusik</w:t>
      </w:r>
      <w:proofErr w:type="spellEnd"/>
      <w:r w:rsidRPr="00C56C10">
        <w:t xml:space="preserve">, adhere to a particularly strict set of taboos within the </w:t>
      </w:r>
      <w:proofErr w:type="spellStart"/>
      <w:r w:rsidRPr="00C56C10">
        <w:t>buyut</w:t>
      </w:r>
      <w:proofErr w:type="spellEnd"/>
      <w:r w:rsidRPr="00C56C10">
        <w:t xml:space="preserve"> system, keeping </w:t>
      </w:r>
      <w:r w:rsidR="008B4C49">
        <w:t xml:space="preserve">minimal </w:t>
      </w:r>
      <w:r w:rsidRPr="00C56C10">
        <w:t xml:space="preserve">contact with outsiders and prohibiting overnight stays for visitors. At the heart of </w:t>
      </w:r>
      <w:proofErr w:type="spellStart"/>
      <w:r w:rsidRPr="00C56C10">
        <w:t>Baduy</w:t>
      </w:r>
      <w:proofErr w:type="spellEnd"/>
      <w:r w:rsidRPr="00C56C10">
        <w:t xml:space="preserve"> culture is the </w:t>
      </w:r>
      <w:proofErr w:type="spellStart"/>
      <w:r w:rsidRPr="00C56C10">
        <w:t>Pikukuh</w:t>
      </w:r>
      <w:proofErr w:type="spellEnd"/>
      <w:r w:rsidRPr="00C56C10">
        <w:t>, a set of customary laws and teachings that guide their lifestyle, relationships, and spirituality</w:t>
      </w:r>
      <w:r w:rsidR="00300A2B">
        <w:t>.</w:t>
      </w:r>
      <w:r w:rsidR="007A4761">
        <w:fldChar w:fldCharType="begin"/>
      </w:r>
      <w:r w:rsidR="007A4761">
        <w:instrText xml:space="preserve"> ADDIN EN.CITE &lt;EndNote&gt;&lt;Cite&gt;&lt;Author&gt;Muntaha&lt;/Author&gt;&lt;Year&gt;2020&lt;/Year&gt;&lt;RecNum&gt;59&lt;/RecNum&gt;&lt;DisplayText&gt;&lt;style face="superscript"&gt;3&lt;/style&gt;&lt;/DisplayText&gt;&lt;record&gt;&lt;rec-number&gt;59&lt;/rec-number&gt;&lt;foreign-keys&gt;&lt;key app="EN" db-id="rv99xx29i29az8e9w2sve9dme5r9stp9a205" timestamp="1730301261"&gt;59&lt;/key&gt;&lt;/foreign-keys&gt;&lt;ref-type name="Journal Article"&gt;17&lt;/ref-type&gt;&lt;contributors&gt;&lt;authors&gt;&lt;author&gt;Muntaha, Payiz Zawahir&lt;/author&gt;&lt;author&gt;Runturambi, Arthur Josias Simon&lt;/author&gt;&lt;/authors&gt;&lt;/contributors&gt;&lt;titles&gt;&lt;title&gt;The Local Wisdom of Baduy Reviewed From the Perspective of SDGs Concept: Research in the Indigenous People of Baduy, Lebak, Banten&lt;/title&gt;&lt;secondary-title&gt;Int. J. of Adv. Res.&lt;/secondary-title&gt;&lt;/titles&gt;&lt;periodical&gt;&lt;full-title&gt;Int. J. of Adv. Res.&lt;/full-title&gt;&lt;/periodical&gt;&lt;pages&gt;91-101&lt;/pages&gt;&lt;volume&gt;8&lt;/volume&gt;&lt;dates&gt;&lt;year&gt;2020&lt;/year&gt;&lt;/dates&gt;&lt;urls&gt;&lt;/urls&gt;&lt;electronic-resource-num&gt;https://dx.doi.org/10.21474/IJAR01/10602&lt;/electronic-resource-num&gt;&lt;/record&gt;&lt;/Cite&gt;&lt;/EndNote&gt;</w:instrText>
      </w:r>
      <w:r w:rsidR="007A4761">
        <w:fldChar w:fldCharType="separate"/>
      </w:r>
      <w:r w:rsidR="007A4761" w:rsidRPr="007A4761">
        <w:rPr>
          <w:noProof/>
          <w:vertAlign w:val="superscript"/>
        </w:rPr>
        <w:t>3</w:t>
      </w:r>
      <w:r w:rsidR="007A4761">
        <w:fldChar w:fldCharType="end"/>
      </w:r>
      <w:r w:rsidRPr="00C56C10">
        <w:t xml:space="preserve"> The </w:t>
      </w:r>
      <w:proofErr w:type="spellStart"/>
      <w:r w:rsidRPr="00C56C10">
        <w:t>Pikukuh</w:t>
      </w:r>
      <w:proofErr w:type="spellEnd"/>
      <w:r w:rsidRPr="00C56C10">
        <w:t xml:space="preserve"> reflects a holistic approach to life that emphasizes ecological stewardship, sustainable farming, and harmonious social relations, echoing the global Sustainable Development Goals (SDGs) through their commitment to preserving forests and water resources for future generations</w:t>
      </w:r>
      <w:r w:rsidR="00300A2B">
        <w:t>.</w:t>
      </w:r>
      <w:r w:rsidR="00812AB0">
        <w:fldChar w:fldCharType="begin"/>
      </w:r>
      <w:r w:rsidR="00812AB0">
        <w:instrText xml:space="preserve"> ADDIN EN.CITE &lt;EndNote&gt;&lt;Cite&gt;&lt;Author&gt;Muntaha&lt;/Author&gt;&lt;Year&gt;2020&lt;/Year&gt;&lt;RecNum&gt;59&lt;/RecNum&gt;&lt;DisplayText&gt;&lt;style face="superscript"&gt;3&lt;/style&gt;&lt;/DisplayText&gt;&lt;record&gt;&lt;rec-number&gt;59&lt;/rec-number&gt;&lt;foreign-keys&gt;&lt;key app="EN" db-id="rv99xx29i29az8e9w2sve9dme5r9stp9a205" timestamp="1730301261"&gt;59&lt;/key&gt;&lt;/foreign-keys&gt;&lt;ref-type name="Journal Article"&gt;17&lt;/ref-type&gt;&lt;contributors&gt;&lt;authors&gt;&lt;author&gt;Muntaha, Payiz Zawahir&lt;/author&gt;&lt;author&gt;Runturambi, Arthur Josias Simon&lt;/author&gt;&lt;/authors&gt;&lt;/contributors&gt;&lt;titles&gt;&lt;title&gt;The Local Wisdom of Baduy Reviewed From the Perspective of SDGs Concept: Research in the Indigenous People of Baduy, Lebak, Banten&lt;/title&gt;&lt;secondary-title&gt;Int. J. of Adv. Res.&lt;/secondary-title&gt;&lt;/titles&gt;&lt;periodical&gt;&lt;full-title&gt;Int. J. of Adv. Res.&lt;/full-title&gt;&lt;/periodical&gt;&lt;pages&gt;91-101&lt;/pages&gt;&lt;volume&gt;8&lt;/volume&gt;&lt;dates&gt;&lt;year&gt;2020&lt;/year&gt;&lt;/dates&gt;&lt;urls&gt;&lt;/urls&gt;&lt;electronic-resource-num&gt;https://dx.doi.org/10.21474/IJAR01/10602&lt;/electronic-resource-num&gt;&lt;/record&gt;&lt;/Cite&gt;&lt;/EndNote&gt;</w:instrText>
      </w:r>
      <w:r w:rsidR="00812AB0">
        <w:fldChar w:fldCharType="separate"/>
      </w:r>
      <w:r w:rsidR="00812AB0" w:rsidRPr="00812AB0">
        <w:rPr>
          <w:noProof/>
          <w:vertAlign w:val="superscript"/>
        </w:rPr>
        <w:t>3</w:t>
      </w:r>
      <w:r w:rsidR="00812AB0">
        <w:fldChar w:fldCharType="end"/>
      </w:r>
      <w:r w:rsidRPr="00C56C10">
        <w:t xml:space="preserve"> This guiding philosophy upholds that the human body is sacred and should be kept pure, forming the basis for the community’s strict prohibition against smoking.</w:t>
      </w:r>
    </w:p>
    <w:p w14:paraId="4D87D364" w14:textId="5DD483EE" w:rsidR="00C56C10" w:rsidRPr="003F10C0" w:rsidRDefault="00C56C10" w:rsidP="00AB17A8">
      <w:pPr>
        <w:spacing w:line="480" w:lineRule="auto"/>
      </w:pPr>
      <w:r>
        <w:lastRenderedPageBreak/>
        <w:t xml:space="preserve">For </w:t>
      </w:r>
      <w:r w:rsidR="009E7FFD">
        <w:t xml:space="preserve">Inner </w:t>
      </w:r>
      <w:proofErr w:type="spellStart"/>
      <w:r>
        <w:t>Baduy</w:t>
      </w:r>
      <w:proofErr w:type="spellEnd"/>
      <w:r>
        <w:t>, s</w:t>
      </w:r>
      <w:r w:rsidRPr="003F10C0">
        <w:t>moking is considered a polluting act that contradicts the</w:t>
      </w:r>
      <w:r>
        <w:t>ir</w:t>
      </w:r>
      <w:r w:rsidRPr="003F10C0">
        <w:t xml:space="preserve"> commitment to purity and environmental respect. In contrast to other Indonesian traditions, such as the </w:t>
      </w:r>
      <w:proofErr w:type="spellStart"/>
      <w:r w:rsidRPr="003F10C0">
        <w:rPr>
          <w:i/>
          <w:iCs/>
        </w:rPr>
        <w:t>Ngukok</w:t>
      </w:r>
      <w:proofErr w:type="spellEnd"/>
      <w:r w:rsidRPr="003F10C0">
        <w:t xml:space="preserve"> smoking ritual </w:t>
      </w:r>
      <w:r>
        <w:t>among boys during Eid al-Fitr and Eid al-Adha in</w:t>
      </w:r>
      <w:r w:rsidRPr="003F10C0">
        <w:t xml:space="preserve"> Jambi</w:t>
      </w:r>
      <w:r w:rsidR="001A4774">
        <w:t>.</w:t>
      </w:r>
      <w:r w:rsidR="003927FD">
        <w:fldChar w:fldCharType="begin"/>
      </w:r>
      <w:r w:rsidR="003927FD">
        <w:instrText xml:space="preserve"> ADDIN EN.CITE &lt;EndNote&gt;&lt;Cite&gt;&lt;Author&gt;Sasih&lt;/Author&gt;&lt;Year&gt;2018&lt;/Year&gt;&lt;RecNum&gt;304&lt;/RecNum&gt;&lt;DisplayText&gt;&lt;style face="superscript"&gt;4&lt;/style&gt;&lt;/DisplayText&gt;&lt;record&gt;&lt;rec-number&gt;304&lt;/rec-number&gt;&lt;foreign-keys&gt;&lt;key app="EN" db-id="rv99xx29i29az8e9w2sve9dme5r9stp9a205" timestamp="1731681517"&gt;304&lt;/key&gt;&lt;/foreign-keys&gt;&lt;ref-type name="Book"&gt;6&lt;/ref-type&gt;&lt;contributors&gt;&lt;authors&gt;&lt;author&gt;Sasih, Agustin&lt;/author&gt;&lt;author&gt;Ananda, Azwar&lt;/author&gt;&lt;author&gt;Khaidir, Afriva&lt;/author&gt;&lt;/authors&gt;&lt;/contributors&gt;&lt;titles&gt;&lt;title&gt;Ngukok tradition; A smoking habit in Kubang village&lt;/title&gt;&lt;/titles&gt;&lt;pages&gt;951-955&lt;/pages&gt;&lt;dates&gt;&lt;year&gt;2018&lt;/year&gt;&lt;/dates&gt;&lt;urls&gt;&lt;/urls&gt;&lt;electronic-resource-num&gt;10.29210/20181138&lt;/electronic-resource-num&gt;&lt;/record&gt;&lt;/Cite&gt;&lt;/EndNote&gt;</w:instrText>
      </w:r>
      <w:r w:rsidR="003927FD">
        <w:fldChar w:fldCharType="separate"/>
      </w:r>
      <w:r w:rsidR="003927FD" w:rsidRPr="003927FD">
        <w:rPr>
          <w:noProof/>
          <w:vertAlign w:val="superscript"/>
        </w:rPr>
        <w:t>4</w:t>
      </w:r>
      <w:r w:rsidR="003927FD">
        <w:fldChar w:fldCharType="end"/>
      </w:r>
      <w:r w:rsidRPr="003F10C0">
        <w:t xml:space="preserve"> </w:t>
      </w:r>
      <w:r w:rsidR="006D701F">
        <w:t>T</w:t>
      </w:r>
      <w:r w:rsidRPr="003F10C0">
        <w:t xml:space="preserve">he </w:t>
      </w:r>
      <w:r w:rsidR="009E7FFD">
        <w:t xml:space="preserve">Inner </w:t>
      </w:r>
      <w:proofErr w:type="spellStart"/>
      <w:r w:rsidRPr="003F10C0">
        <w:t>Baduy</w:t>
      </w:r>
      <w:proofErr w:type="spellEnd"/>
      <w:r w:rsidRPr="003F10C0">
        <w:t xml:space="preserve"> strictly forbid smoking within their community. </w:t>
      </w:r>
      <w:r w:rsidR="00805F78">
        <w:t>They</w:t>
      </w:r>
      <w:r w:rsidRPr="003F10C0">
        <w:t xml:space="preserve"> </w:t>
      </w:r>
      <w:r w:rsidR="00051D87">
        <w:t xml:space="preserve">also </w:t>
      </w:r>
      <w:r w:rsidRPr="003F10C0">
        <w:t xml:space="preserve">rigorously </w:t>
      </w:r>
      <w:r w:rsidR="00950DEC" w:rsidRPr="003F10C0">
        <w:t>enforce</w:t>
      </w:r>
      <w:r w:rsidRPr="003F10C0">
        <w:t xml:space="preserve"> a smoking ban, viewing it as harmful and disruptive to both human and environmental well-being. Th</w:t>
      </w:r>
      <w:r w:rsidR="00847146">
        <w:t>e inner</w:t>
      </w:r>
      <w:r w:rsidRPr="003F10C0">
        <w:t xml:space="preserve"> area remains relatively free of tobacco advertisements. </w:t>
      </w:r>
      <w:r w:rsidR="000F5CED">
        <w:t>Meanw</w:t>
      </w:r>
      <w:r w:rsidR="00B66EFC" w:rsidRPr="003F10C0">
        <w:t>hile</w:t>
      </w:r>
      <w:r w:rsidR="000F5CED">
        <w:t>,</w:t>
      </w:r>
      <w:r w:rsidR="00B66EFC" w:rsidRPr="003F10C0">
        <w:t xml:space="preserve"> some Outer </w:t>
      </w:r>
      <w:proofErr w:type="spellStart"/>
      <w:r w:rsidR="00B66EFC" w:rsidRPr="003F10C0">
        <w:t>Baduy</w:t>
      </w:r>
      <w:proofErr w:type="spellEnd"/>
      <w:r w:rsidR="00B66EFC" w:rsidRPr="003F10C0">
        <w:t xml:space="preserve"> may engage in smoking</w:t>
      </w:r>
      <w:r w:rsidR="006D701F">
        <w:t xml:space="preserve"> and c</w:t>
      </w:r>
      <w:r w:rsidRPr="003F10C0">
        <w:t xml:space="preserve">igarettes are available in small stores on the outskirts of Outer </w:t>
      </w:r>
      <w:proofErr w:type="spellStart"/>
      <w:r w:rsidRPr="003F10C0">
        <w:t>Baduy</w:t>
      </w:r>
      <w:proofErr w:type="spellEnd"/>
      <w:r w:rsidRPr="003F10C0">
        <w:t xml:space="preserve">. For visitors and Outer </w:t>
      </w:r>
      <w:proofErr w:type="spellStart"/>
      <w:r w:rsidRPr="003F10C0">
        <w:t>Baduy</w:t>
      </w:r>
      <w:proofErr w:type="spellEnd"/>
      <w:r w:rsidRPr="003F10C0">
        <w:t xml:space="preserve"> alike, offering cigarettes or discarding cigarette butts within Inner </w:t>
      </w:r>
      <w:proofErr w:type="spellStart"/>
      <w:r w:rsidRPr="003F10C0">
        <w:t>Baduy</w:t>
      </w:r>
      <w:proofErr w:type="spellEnd"/>
      <w:r w:rsidRPr="003F10C0">
        <w:t xml:space="preserve"> territories is strictly prohibited, reinforcing the sanctity of their space and traditions.</w:t>
      </w:r>
    </w:p>
    <w:p w14:paraId="0398E66E" w14:textId="6B522531" w:rsidR="00C56C10" w:rsidRDefault="00C56C10" w:rsidP="00AB17A8">
      <w:pPr>
        <w:spacing w:line="480" w:lineRule="auto"/>
      </w:pPr>
      <w:r w:rsidRPr="00C56C10">
        <w:t>This strict, smoke-free lifestyle is remarkable given Indonesia's high smoking rates and the prominence of tobacco in its culture. Indonesia has one of the world’s highest smoking rates,</w:t>
      </w:r>
      <w:r w:rsidR="006D701F">
        <w:t xml:space="preserve"> </w:t>
      </w:r>
      <w:r w:rsidR="00A97E15" w:rsidRPr="00A97E15">
        <w:t xml:space="preserve">33.8% of adults aged 15 and older use tobacco, with a striking gender difference: nearly two-thirds of men (62.9%) </w:t>
      </w:r>
      <w:r w:rsidR="00A86063">
        <w:t>smoke</w:t>
      </w:r>
      <w:r w:rsidR="00A97E15" w:rsidRPr="00A97E15">
        <w:t xml:space="preserve"> compared to just 4.8% of women</w:t>
      </w:r>
      <w:r w:rsidR="00EE1C18">
        <w:t>.</w:t>
      </w:r>
      <w:r w:rsidR="00E05369">
        <w:fldChar w:fldCharType="begin"/>
      </w:r>
      <w:r w:rsidR="00E05369">
        <w:instrText xml:space="preserve"> ADDIN EN.CITE &lt;EndNote&gt;&lt;Cite&gt;&lt;Author&gt;Kementrian Kesehatan Republik Indonesia&lt;/Author&gt;&lt;Year&gt;2018&lt;/Year&gt;&lt;RecNum&gt;40&lt;/RecNum&gt;&lt;DisplayText&gt;&lt;style face="superscript"&gt;5&lt;/style&gt;&lt;/DisplayText&gt;&lt;record&gt;&lt;rec-number&gt;40&lt;/rec-number&gt;&lt;foreign-keys&gt;&lt;key app="EN" db-id="rv99xx29i29az8e9w2sve9dme5r9stp9a205" timestamp="1720207734"&gt;40&lt;/key&gt;&lt;/foreign-keys&gt;&lt;ref-type name="Report"&gt;27&lt;/ref-type&gt;&lt;contributors&gt;&lt;authors&gt;&lt;author&gt;Kementrian Kesehatan Republik Indonesia,&lt;/author&gt;&lt;/authors&gt;&lt;tertiary-authors&gt;&lt;author&gt;Badan Penelitian dan Pengembangan Kesehatan,&lt;/author&gt;&lt;/tertiary-authors&gt;&lt;/contributors&gt;&lt;titles&gt;&lt;title&gt;Laporan Nasional Riset Kesehatan Dasar Indonesia 2018&lt;/title&gt;&lt;/titles&gt;&lt;dates&gt;&lt;year&gt;2018&lt;/year&gt;&lt;/dates&gt;&lt;pub-location&gt;Jakarta&lt;/pub-location&gt;&lt;urls&gt;&lt;related-urls&gt;&lt;url&gt;https://repository.badankebijakan.kemkes.go.id/id/eprint/3514/1/Laporan%20Riskesdas%202018%20Nasional.pdf&lt;/url&gt;&lt;/related-urls&gt;&lt;/urls&gt;&lt;/record&gt;&lt;/Cite&gt;&lt;/EndNote&gt;</w:instrText>
      </w:r>
      <w:r w:rsidR="00E05369">
        <w:fldChar w:fldCharType="separate"/>
      </w:r>
      <w:r w:rsidR="00E05369" w:rsidRPr="00E05369">
        <w:rPr>
          <w:noProof/>
          <w:vertAlign w:val="superscript"/>
        </w:rPr>
        <w:t>5</w:t>
      </w:r>
      <w:r w:rsidR="00E05369">
        <w:fldChar w:fldCharType="end"/>
      </w:r>
      <w:r w:rsidR="0073166E">
        <w:t xml:space="preserve"> T</w:t>
      </w:r>
      <w:r w:rsidRPr="00C56C10">
        <w:t xml:space="preserve">obacco-related deaths </w:t>
      </w:r>
      <w:r w:rsidR="0073166E">
        <w:t xml:space="preserve">were </w:t>
      </w:r>
      <w:r w:rsidRPr="00C56C10">
        <w:t>estimated at around 200,000 annually</w:t>
      </w:r>
      <w:r w:rsidR="001A4774">
        <w:t>.</w:t>
      </w:r>
      <w:r w:rsidR="00F036ED">
        <w:fldChar w:fldCharType="begin"/>
      </w:r>
      <w:r w:rsidR="00E05369">
        <w:instrText xml:space="preserve"> ADDIN EN.CITE &lt;EndNote&gt;&lt;Cite&gt;&lt;Author&gt;World Health Organization&lt;/Author&gt;&lt;Year&gt;2019&lt;/Year&gt;&lt;RecNum&gt;41&lt;/RecNum&gt;&lt;DisplayText&gt;&lt;style face="superscript"&gt;6 7&lt;/style&gt;&lt;/DisplayText&gt;&lt;record&gt;&lt;rec-number&gt;41&lt;/rec-number&gt;&lt;foreign-keys&gt;&lt;key app="EN" db-id="rv99xx29i29az8e9w2sve9dme5r9stp9a205" timestamp="1720208403"&gt;41&lt;/key&gt;&lt;/foreign-keys&gt;&lt;ref-type name="Report"&gt;27&lt;/ref-type&gt;&lt;contributors&gt;&lt;authors&gt;&lt;author&gt;World Health Organization,&lt;/author&gt;&lt;/authors&gt;&lt;tertiary-authors&gt;&lt;author&gt;World Health Organization,&lt;/author&gt;&lt;/tertiary-authors&gt;&lt;/contributors&gt;&lt;titles&gt;&lt;title&gt;WHO global report on trends in prevalence of tobacco use 2000-2025, third edition&lt;/title&gt;&lt;/titles&gt;&lt;edition&gt;3rd&lt;/edition&gt;&lt;dates&gt;&lt;year&gt;2019&lt;/year&gt;&lt;/dates&gt;&lt;pub-location&gt;Geneva&lt;/pub-location&gt;&lt;urls&gt;&lt;/urls&gt;&lt;/record&gt;&lt;/Cite&gt;&lt;Cite&gt;&lt;Author&gt;The Tobacco Atlas&lt;/Author&gt;&lt;Year&gt;2019&lt;/Year&gt;&lt;RecNum&gt;42&lt;/RecNum&gt;&lt;record&gt;&lt;rec-number&gt;42&lt;/rec-number&gt;&lt;foreign-keys&gt;&lt;key app="EN" db-id="rv99xx29i29az8e9w2sve9dme5r9stp9a205" timestamp="1720209437"&gt;42&lt;/key&gt;&lt;/foreign-keys&gt;&lt;ref-type name="Web Page"&gt;12&lt;/ref-type&gt;&lt;contributors&gt;&lt;authors&gt;&lt;author&gt;The Tobacco Atlas,&lt;/author&gt;&lt;/authors&gt;&lt;/contributors&gt;&lt;titles&gt;&lt;title&gt;Country factsheets: Indonesia&lt;/title&gt;&lt;/titles&gt;&lt;volume&gt;2024&lt;/volume&gt;&lt;number&gt;July 5th&lt;/number&gt;&lt;dates&gt;&lt;year&gt;2019&lt;/year&gt;&lt;/dates&gt;&lt;urls&gt;&lt;related-urls&gt;&lt;url&gt;https://tobaccoatlas.org/factsheets/indonesia/&lt;/url&gt;&lt;/related-urls&gt;&lt;/urls&gt;&lt;/record&gt;&lt;/Cite&gt;&lt;/EndNote&gt;</w:instrText>
      </w:r>
      <w:r w:rsidR="00F036ED">
        <w:fldChar w:fldCharType="separate"/>
      </w:r>
      <w:r w:rsidR="00E05369" w:rsidRPr="00E05369">
        <w:rPr>
          <w:noProof/>
          <w:vertAlign w:val="superscript"/>
        </w:rPr>
        <w:t>6 7</w:t>
      </w:r>
      <w:r w:rsidR="00F036ED">
        <w:fldChar w:fldCharType="end"/>
      </w:r>
      <w:r w:rsidRPr="00C56C10">
        <w:t xml:space="preserve"> Despite efforts to implement smoke-free policies in 72% of districts and cities, enforcement is inconsistent, and smoking </w:t>
      </w:r>
      <w:r w:rsidR="00CC2B5B">
        <w:t xml:space="preserve">in public places </w:t>
      </w:r>
      <w:r w:rsidRPr="00C56C10">
        <w:t>remains pervasive</w:t>
      </w:r>
      <w:r w:rsidR="001A4774">
        <w:t>.</w:t>
      </w:r>
      <w:r w:rsidR="009B3BBC">
        <w:fldChar w:fldCharType="begin"/>
      </w:r>
      <w:r w:rsidR="00E05369">
        <w:instrText xml:space="preserve"> ADDIN EN.CITE &lt;EndNote&gt;&lt;Cite&gt;&lt;Author&gt;Martini&lt;/Author&gt;&lt;Year&gt;2022&lt;/Year&gt;&lt;RecNum&gt;43&lt;/RecNum&gt;&lt;DisplayText&gt;&lt;style face="superscript"&gt;8&lt;/style&gt;&lt;/DisplayText&gt;&lt;record&gt;&lt;rec-number&gt;43&lt;/rec-number&gt;&lt;foreign-keys&gt;&lt;key app="EN" db-id="rv99xx29i29az8e9w2sve9dme5r9stp9a205" timestamp="1720210035"&gt;43&lt;/key&gt;&lt;/foreign-keys&gt;&lt;ref-type name="Journal Article"&gt;17&lt;/ref-type&gt;&lt;contributors&gt;&lt;authors&gt;&lt;author&gt;Martini, Santi&lt;/author&gt;&lt;author&gt;Artanti, Kurnia Dwi&lt;/author&gt;&lt;author&gt;Hargono, Arief&lt;/author&gt;&lt;author&gt;Widati, Sri&lt;/author&gt;&lt;author&gt;Ahsan, Abdillah&lt;/author&gt;&lt;author&gt;Prabandari, Yayi Suryo&lt;/author&gt;&lt;/authors&gt;&lt;/contributors&gt;&lt;titles&gt;&lt;title&gt;Association between percentage of smokers and prevalence of smoking attributable morbidity in Indonesia: one decade after implementation of smoke-free area regulation&lt;/title&gt;&lt;secondary-title&gt;BMC Public Health&lt;/secondary-title&gt;&lt;/titles&gt;&lt;periodical&gt;&lt;full-title&gt;BMC Public Health&lt;/full-title&gt;&lt;/periodical&gt;&lt;pages&gt;2202&lt;/pages&gt;&lt;volume&gt;22&lt;/volume&gt;&lt;number&gt;1&lt;/number&gt;&lt;dates&gt;&lt;year&gt;2022&lt;/year&gt;&lt;pub-dates&gt;&lt;date&gt;2022/11/28&lt;/date&gt;&lt;/pub-dates&gt;&lt;/dates&gt;&lt;isbn&gt;1471-2458&lt;/isbn&gt;&lt;urls&gt;&lt;related-urls&gt;&lt;url&gt;https://doi.org/10.1186/s12889-022-14435-8&lt;/url&gt;&lt;/related-urls&gt;&lt;/urls&gt;&lt;electronic-resource-num&gt;10.1186/s12889-022-14435-8&lt;/electronic-resource-num&gt;&lt;/record&gt;&lt;/Cite&gt;&lt;/EndNote&gt;</w:instrText>
      </w:r>
      <w:r w:rsidR="009B3BBC">
        <w:fldChar w:fldCharType="separate"/>
      </w:r>
      <w:r w:rsidR="00E05369" w:rsidRPr="00E05369">
        <w:rPr>
          <w:noProof/>
          <w:vertAlign w:val="superscript"/>
        </w:rPr>
        <w:t>8</w:t>
      </w:r>
      <w:r w:rsidR="009B3BBC">
        <w:fldChar w:fldCharType="end"/>
      </w:r>
      <w:r w:rsidRPr="00C56C10">
        <w:t xml:space="preserve"> The cultural significance of kretek (clove cigarettes), which some advocate to be recognized as a national heritage, further complicates tobacco control efforts</w:t>
      </w:r>
      <w:r w:rsidR="00C75270">
        <w:t>.</w:t>
      </w:r>
      <w:r w:rsidR="009B3BBC">
        <w:fldChar w:fldCharType="begin"/>
      </w:r>
      <w:r w:rsidR="00E05369">
        <w:instrText xml:space="preserve"> ADDIN EN.CITE &lt;EndNote&gt;&lt;Cite&gt;&lt;Author&gt;Astuti&lt;/Author&gt;&lt;Year&gt;2017&lt;/Year&gt;&lt;RecNum&gt;47&lt;/RecNum&gt;&lt;DisplayText&gt;&lt;style face="superscript"&gt;9&lt;/style&gt;&lt;/DisplayText&gt;&lt;record&gt;&lt;rec-number&gt;47&lt;/rec-number&gt;&lt;foreign-keys&gt;&lt;key app="EN" db-id="rv99xx29i29az8e9w2sve9dme5r9stp9a205" timestamp="1720212918"&gt;47&lt;/key&gt;&lt;/foreign-keys&gt;&lt;ref-type name="Journal Article"&gt;17&lt;/ref-type&gt;&lt;contributors&gt;&lt;authors&gt;&lt;author&gt;Astuti, Putu Ayu Swandewi&lt;/author&gt;&lt;author&gt;Freeman, Becky&lt;/author&gt;&lt;/authors&gt;&lt;/contributors&gt;&lt;titles&gt;&lt;title&gt;“It is merely a paper tiger.” Battle for increased tobacco advertising regulation in Indonesia: content analysis of news articles&lt;/title&gt;&lt;secondary-title&gt;BMJ Open&lt;/secondary-title&gt;&lt;/titles&gt;&lt;periodical&gt;&lt;full-title&gt;BMJ Open&lt;/full-title&gt;&lt;/periodical&gt;&lt;pages&gt;e016975&lt;/pages&gt;&lt;volume&gt;7&lt;/volume&gt;&lt;number&gt;9&lt;/number&gt;&lt;dates&gt;&lt;year&gt;2017&lt;/year&gt;&lt;/dates&gt;&lt;urls&gt;&lt;related-urls&gt;&lt;url&gt;http://bmjopen.bmj.com/content/7/9/e016975.abstract&lt;/url&gt;&lt;/related-urls&gt;&lt;/urls&gt;&lt;electronic-resource-num&gt;10.1136/bmjopen-2017-016975&lt;/electronic-resource-num&gt;&lt;/record&gt;&lt;/Cite&gt;&lt;/EndNote&gt;</w:instrText>
      </w:r>
      <w:r w:rsidR="009B3BBC">
        <w:fldChar w:fldCharType="separate"/>
      </w:r>
      <w:r w:rsidR="00E05369" w:rsidRPr="00E05369">
        <w:rPr>
          <w:noProof/>
          <w:vertAlign w:val="superscript"/>
        </w:rPr>
        <w:t>9</w:t>
      </w:r>
      <w:r w:rsidR="009B3BBC">
        <w:fldChar w:fldCharType="end"/>
      </w:r>
      <w:r w:rsidRPr="00C56C10">
        <w:t xml:space="preserve"> </w:t>
      </w:r>
      <w:r w:rsidR="00A86063">
        <w:t>A</w:t>
      </w:r>
      <w:r w:rsidR="003E7AD3">
        <w:t xml:space="preserve"> recent</w:t>
      </w:r>
      <w:r w:rsidR="00B7553A">
        <w:t xml:space="preserve"> Netflix series</w:t>
      </w:r>
      <w:r w:rsidR="00006390">
        <w:t xml:space="preserve"> “Gadis Kretek” </w:t>
      </w:r>
      <w:r w:rsidR="006672E8">
        <w:t xml:space="preserve">or </w:t>
      </w:r>
      <w:r w:rsidR="00A86063">
        <w:t>“</w:t>
      </w:r>
      <w:r w:rsidR="00584A06">
        <w:t>Cigarettes Girl</w:t>
      </w:r>
      <w:r w:rsidR="00A86063">
        <w:t>”</w:t>
      </w:r>
      <w:r w:rsidR="006672E8">
        <w:t xml:space="preserve"> </w:t>
      </w:r>
      <w:r w:rsidR="00760CB1">
        <w:t>revived th</w:t>
      </w:r>
      <w:r w:rsidR="00F91728">
        <w:t>is</w:t>
      </w:r>
      <w:r w:rsidR="00760CB1">
        <w:t xml:space="preserve"> </w:t>
      </w:r>
      <w:r w:rsidR="00760CB1">
        <w:lastRenderedPageBreak/>
        <w:t>sentiment</w:t>
      </w:r>
      <w:r w:rsidR="00F91728">
        <w:t xml:space="preserve"> with the emphasis on the historical and traditional aspects of kretek</w:t>
      </w:r>
      <w:r w:rsidR="00C75270">
        <w:t>.</w:t>
      </w:r>
      <w:r w:rsidR="0052142B">
        <w:fldChar w:fldCharType="begin"/>
      </w:r>
      <w:r w:rsidR="00E05369">
        <w:instrText xml:space="preserve"> ADDIN EN.CITE &lt;EndNote&gt;&lt;Cite&gt;&lt;Author&gt;Andini&lt;/Author&gt;&lt;Year&gt;2023&lt;/Year&gt;&lt;RecNum&gt;303&lt;/RecNum&gt;&lt;DisplayText&gt;&lt;style face="superscript"&gt;10&lt;/style&gt;&lt;/DisplayText&gt;&lt;record&gt;&lt;rec-number&gt;303&lt;/rec-number&gt;&lt;foreign-keys&gt;&lt;key app="EN" db-id="rv99xx29i29az8e9w2sve9dme5r9stp9a205" timestamp="1731363811"&gt;303&lt;/key&gt;&lt;/foreign-keys&gt;&lt;ref-type name="Serial"&gt;57&lt;/ref-type&gt;&lt;contributors&gt;&lt;authors&gt;&lt;author&gt;Andini, Kamila&lt;/author&gt;&lt;author&gt;Isfansyah, Ifa&lt;/author&gt;&lt;/authors&gt;&lt;/contributors&gt;&lt;titles&gt;&lt;title&gt;Gadis Kretek (Cigarette Girl)&lt;/title&gt;&lt;/titles&gt;&lt;dates&gt;&lt;year&gt;2023&lt;/year&gt;&lt;/dates&gt;&lt;publisher&gt;Netflix&lt;/publisher&gt;&lt;urls&gt;&lt;/urls&gt;&lt;/record&gt;&lt;/Cite&gt;&lt;/EndNote&gt;</w:instrText>
      </w:r>
      <w:r w:rsidR="0052142B">
        <w:fldChar w:fldCharType="separate"/>
      </w:r>
      <w:r w:rsidR="00E05369" w:rsidRPr="00E05369">
        <w:rPr>
          <w:noProof/>
          <w:vertAlign w:val="superscript"/>
        </w:rPr>
        <w:t>10</w:t>
      </w:r>
      <w:r w:rsidR="0052142B">
        <w:fldChar w:fldCharType="end"/>
      </w:r>
      <w:r w:rsidR="00B7553A">
        <w:t xml:space="preserve"> </w:t>
      </w:r>
      <w:r w:rsidRPr="00C56C10">
        <w:t>Traditional tobacco products are deeply ingrained in the nation’s customs, contributing to the normalization of smoking across generations</w:t>
      </w:r>
      <w:r w:rsidR="00C75270">
        <w:t>.</w:t>
      </w:r>
      <w:r w:rsidR="008660C8">
        <w:fldChar w:fldCharType="begin"/>
      </w:r>
      <w:r w:rsidR="00E05369">
        <w:instrText xml:space="preserve"> ADDIN EN.CITE &lt;EndNote&gt;&lt;Cite&gt;&lt;Author&gt;Welker&lt;/Author&gt;&lt;Year&gt;2024&lt;/Year&gt;&lt;RecNum&gt;45&lt;/RecNum&gt;&lt;DisplayText&gt;&lt;style face="superscript"&gt;11&lt;/style&gt;&lt;/DisplayText&gt;&lt;record&gt;&lt;rec-number&gt;45&lt;/rec-number&gt;&lt;foreign-keys&gt;&lt;key app="EN" db-id="rv99xx29i29az8e9w2sve9dme5r9stp9a205" timestamp="1720211682"&gt;45&lt;/key&gt;&lt;/foreign-keys&gt;&lt;ref-type name="Book"&gt;6&lt;/ref-type&gt;&lt;contributors&gt;&lt;authors&gt;&lt;author&gt;Welker, M&lt;/author&gt;&lt;/authors&gt;&lt;/contributors&gt;&lt;titles&gt;&lt;title&gt;Kretek Capitalism: Making, Marketing, and Consuming Clove Cigarettes in Indonesia&lt;/title&gt;&lt;/titles&gt;&lt;dates&gt;&lt;year&gt;2024&lt;/year&gt;&lt;/dates&gt;&lt;pub-location&gt;Oakland, California&lt;/pub-location&gt;&lt;publisher&gt;University of California Press&lt;/publisher&gt;&lt;isbn&gt;9780520399679&lt;/isbn&gt;&lt;urls&gt;&lt;/urls&gt;&lt;/record&gt;&lt;/Cite&gt;&lt;/EndNote&gt;</w:instrText>
      </w:r>
      <w:r w:rsidR="008660C8">
        <w:fldChar w:fldCharType="separate"/>
      </w:r>
      <w:r w:rsidR="00E05369" w:rsidRPr="00E05369">
        <w:rPr>
          <w:noProof/>
          <w:vertAlign w:val="superscript"/>
        </w:rPr>
        <w:t>11</w:t>
      </w:r>
      <w:r w:rsidR="008660C8">
        <w:fldChar w:fldCharType="end"/>
      </w:r>
      <w:r w:rsidRPr="00C56C10">
        <w:t xml:space="preserve"> </w:t>
      </w:r>
    </w:p>
    <w:p w14:paraId="184FE614" w14:textId="28AA2413" w:rsidR="00C56C10" w:rsidRDefault="00C56C10" w:rsidP="00AB17A8">
      <w:pPr>
        <w:spacing w:line="480" w:lineRule="auto"/>
      </w:pPr>
      <w:r w:rsidRPr="00C56C10">
        <w:t xml:space="preserve">In contrast to these broader cultural trends, the </w:t>
      </w:r>
      <w:proofErr w:type="spellStart"/>
      <w:r w:rsidRPr="00C56C10">
        <w:t>Baduy’s</w:t>
      </w:r>
      <w:proofErr w:type="spellEnd"/>
      <w:r w:rsidRPr="00C56C10">
        <w:t xml:space="preserve"> commitment to a smoke-free </w:t>
      </w:r>
      <w:r w:rsidR="00174A77">
        <w:t>lifestyle</w:t>
      </w:r>
      <w:r w:rsidR="00174A77" w:rsidRPr="00C56C10">
        <w:t xml:space="preserve"> </w:t>
      </w:r>
      <w:r w:rsidRPr="00C56C10">
        <w:t xml:space="preserve">presents a compelling alternative, highlighting the effectiveness of community-based approaches in maintaining a tobacco-free lifestyle. Nonetheless, the </w:t>
      </w:r>
      <w:proofErr w:type="spellStart"/>
      <w:r w:rsidRPr="00C56C10">
        <w:t>Baduy</w:t>
      </w:r>
      <w:proofErr w:type="spellEnd"/>
      <w:r w:rsidRPr="00C56C10">
        <w:t xml:space="preserve"> face challenges as modern influences increasingly encroach upon their community</w:t>
      </w:r>
      <w:r w:rsidR="00C75270">
        <w:t>.</w:t>
      </w:r>
      <w:r w:rsidR="00ED4AF4">
        <w:fldChar w:fldCharType="begin"/>
      </w:r>
      <w:r w:rsidR="00E05369">
        <w:instrText xml:space="preserve"> ADDIN EN.CITE &lt;EndNote&gt;&lt;Cite&gt;&lt;Author&gt;Leo&lt;/Author&gt;&lt;Year&gt;2016&lt;/Year&gt;&lt;RecNum&gt;62&lt;/RecNum&gt;&lt;DisplayText&gt;&lt;style face="superscript"&gt;12&lt;/style&gt;&lt;/DisplayText&gt;&lt;record&gt;&lt;rec-number&gt;62&lt;/rec-number&gt;&lt;foreign-keys&gt;&lt;key app="EN" db-id="rv99xx29i29az8e9w2sve9dme5r9stp9a205" timestamp="1730307484"&gt;62&lt;/key&gt;&lt;/foreign-keys&gt;&lt;ref-type name="Newspaper Article"&gt;23&lt;/ref-type&gt;&lt;contributors&gt;&lt;authors&gt;&lt;author&gt;Leo, PJ&lt;/author&gt;&lt;/authors&gt;&lt;/contributors&gt;&lt;titles&gt;&lt;title&gt;Baduy people living between tradition and modernization&lt;/title&gt;&lt;secondary-title&gt;The Jakarta Post&lt;/secondary-title&gt;&lt;/titles&gt;&lt;dates&gt;&lt;year&gt;2016&lt;/year&gt;&lt;/dates&gt;&lt;pub-location&gt;Jakarta&lt;/pub-location&gt;&lt;publisher&gt;Bina Media Tenggara&lt;/publisher&gt;&lt;urls&gt;&lt;/urls&gt;&lt;/record&gt;&lt;/Cite&gt;&lt;/EndNote&gt;</w:instrText>
      </w:r>
      <w:r w:rsidR="00ED4AF4">
        <w:fldChar w:fldCharType="separate"/>
      </w:r>
      <w:r w:rsidR="00E05369" w:rsidRPr="00E05369">
        <w:rPr>
          <w:noProof/>
          <w:vertAlign w:val="superscript"/>
        </w:rPr>
        <w:t>12</w:t>
      </w:r>
      <w:r w:rsidR="00ED4AF4">
        <w:fldChar w:fldCharType="end"/>
      </w:r>
      <w:r w:rsidRPr="00C56C10">
        <w:t xml:space="preserve"> The influx of visitors and exposure to prohibited behaviors, such as smoking, risk influencing the younger generation, potentially weakening traditional values. As younger members interact more with modern lifestyles, preserving their cultural heritage becomes essential. In response, the </w:t>
      </w:r>
      <w:proofErr w:type="spellStart"/>
      <w:r w:rsidRPr="00C56C10">
        <w:t>Baduy</w:t>
      </w:r>
      <w:proofErr w:type="spellEnd"/>
      <w:r w:rsidRPr="00C56C10">
        <w:t xml:space="preserve"> are actively reinforcing their sustainable practices and prohibitions to retain their identity in the face of change. </w:t>
      </w:r>
    </w:p>
    <w:p w14:paraId="1B90AF80" w14:textId="6218A081" w:rsidR="00CE0979" w:rsidRDefault="00CE0979" w:rsidP="00AB17A8">
      <w:pPr>
        <w:spacing w:line="480" w:lineRule="auto"/>
      </w:pPr>
      <w:r>
        <w:t xml:space="preserve">Besides </w:t>
      </w:r>
      <w:proofErr w:type="spellStart"/>
      <w:r>
        <w:t>Baduy</w:t>
      </w:r>
      <w:proofErr w:type="spellEnd"/>
      <w:r>
        <w:t xml:space="preserve">, </w:t>
      </w:r>
      <w:r w:rsidRPr="00C56C10">
        <w:t>Indonesia is home to an estimated 40 to 70 million Indigenous people</w:t>
      </w:r>
      <w:r w:rsidR="00C726E0">
        <w:t>,</w:t>
      </w:r>
      <w:r>
        <w:fldChar w:fldCharType="begin"/>
      </w:r>
      <w:r w:rsidR="00610650">
        <w:instrText xml:space="preserve"> ADDIN EN.CITE &lt;EndNote&gt;&lt;Cite&gt;&lt;Author&gt;Rinesti&lt;/Author&gt;&lt;Year&gt;2022&lt;/Year&gt;&lt;RecNum&gt;297&lt;/RecNum&gt;&lt;DisplayText&gt;&lt;style face="superscript"&gt;13&lt;/style&gt;&lt;/DisplayText&gt;&lt;record&gt;&lt;rec-number&gt;297&lt;/rec-number&gt;&lt;foreign-keys&gt;&lt;key app="EN" db-id="rv99xx29i29az8e9w2sve9dme5r9stp9a205" timestamp="1731352656"&gt;297&lt;/key&gt;&lt;/foreign-keys&gt;&lt;ref-type name="Web Page"&gt;12&lt;/ref-type&gt;&lt;contributors&gt;&lt;authors&gt;&lt;author&gt;Rinesti, Langit&lt;/author&gt;&lt;/authors&gt;&lt;/contributors&gt;&lt;titles&gt;&lt;title&gt;Indigenous people of Indonesia: Fight for their way&lt;/title&gt;&lt;/titles&gt;&lt;volume&gt;2024&lt;/volume&gt;&lt;number&gt;November 7&lt;/number&gt;&lt;dates&gt;&lt;year&gt;2022&lt;/year&gt;&lt;/dates&gt;&lt;publisher&gt;Climate Tracker Asia&lt;/publisher&gt;&lt;urls&gt;&lt;related-urls&gt;&lt;url&gt;https://climatetracker.asia/indigenous-people-of-indonesia-fight-for-their-way/&lt;/url&gt;&lt;/related-urls&gt;&lt;/urls&gt;&lt;/record&gt;&lt;/Cite&gt;&lt;/EndNote&gt;</w:instrText>
      </w:r>
      <w:r>
        <w:fldChar w:fldCharType="separate"/>
      </w:r>
      <w:r w:rsidR="00610650" w:rsidRPr="00610650">
        <w:rPr>
          <w:noProof/>
          <w:vertAlign w:val="superscript"/>
        </w:rPr>
        <w:t>13</w:t>
      </w:r>
      <w:r>
        <w:fldChar w:fldCharType="end"/>
      </w:r>
      <w:r w:rsidRPr="00C56C10">
        <w:t xml:space="preserve"> among a total population of approximately 270 million. Indigenous people collectively manage around 30.1 million hectares, though only 16% of this land has been formally recognized</w:t>
      </w:r>
      <w:r w:rsidR="00A87D69">
        <w:t>,</w:t>
      </w:r>
      <w:r>
        <w:fldChar w:fldCharType="begin"/>
      </w:r>
      <w:r w:rsidR="00610650">
        <w:instrText xml:space="preserve"> ADDIN EN.CITE &lt;EndNote&gt;&lt;Cite&gt;&lt;Author&gt;Aulia&lt;/Author&gt;&lt;Year&gt;2024&lt;/Year&gt;&lt;RecNum&gt;300&lt;/RecNum&gt;&lt;DisplayText&gt;&lt;style face="superscript"&gt;14&lt;/style&gt;&lt;/DisplayText&gt;&lt;record&gt;&lt;rec-number&gt;300&lt;/rec-number&gt;&lt;foreign-keys&gt;&lt;key app="EN" db-id="rv99xx29i29az8e9w2sve9dme5r9stp9a205" timestamp="1731354930"&gt;300&lt;/key&gt;&lt;/foreign-keys&gt;&lt;ref-type name="Press Release"&gt;63&lt;/ref-type&gt;&lt;contributors&gt;&lt;authors&gt;&lt;author&gt;Aulia, Ogy Dwi&lt;/author&gt;&lt;author&gt;Julianty, Cindy&lt;/author&gt;&lt;author&gt;Renggi, Eustobio Rero&lt;/author&gt;&lt;/authors&gt;&lt;/contributors&gt;&lt;titles&gt;&lt;title&gt;Masyarakat Sipil Indonesia Desak Pemerintah Dukung Agenda Masyarakat Adat di COP 16 CBD (Indonesian Civil Society Urges Government to Support Indigenous Peoples Agenda at COP 16 CBD)&lt;/title&gt;&lt;/titles&gt;&lt;dates&gt;&lt;year&gt;2024&lt;/year&gt;&lt;/dates&gt;&lt;pub-location&gt;Cali&lt;/pub-location&gt;&lt;urls&gt;&lt;related-urls&gt;&lt;url&gt;https://aman.or.id/publication-documentation/282&lt;/url&gt;&lt;/related-urls&gt;&lt;/urls&gt;&lt;/record&gt;&lt;/Cite&gt;&lt;/EndNote&gt;</w:instrText>
      </w:r>
      <w:r>
        <w:fldChar w:fldCharType="separate"/>
      </w:r>
      <w:r w:rsidR="00610650" w:rsidRPr="00610650">
        <w:rPr>
          <w:noProof/>
          <w:vertAlign w:val="superscript"/>
        </w:rPr>
        <w:t>14</w:t>
      </w:r>
      <w:r>
        <w:fldChar w:fldCharType="end"/>
      </w:r>
      <w:r w:rsidR="001101A1">
        <w:t xml:space="preserve"> </w:t>
      </w:r>
      <w:r w:rsidR="00A375DA">
        <w:t xml:space="preserve">mostly </w:t>
      </w:r>
      <w:r w:rsidR="00A87D69">
        <w:t xml:space="preserve">as </w:t>
      </w:r>
      <w:r w:rsidR="00A375DA">
        <w:t>part of protected forest and conservat</w:t>
      </w:r>
      <w:r w:rsidR="00380484">
        <w:t>ion areas</w:t>
      </w:r>
      <w:r w:rsidRPr="00C56C10">
        <w:t xml:space="preserve">. </w:t>
      </w:r>
      <w:r w:rsidR="00174A77">
        <w:t>T</w:t>
      </w:r>
      <w:r w:rsidRPr="00C56C10">
        <w:t xml:space="preserve">he </w:t>
      </w:r>
      <w:proofErr w:type="spellStart"/>
      <w:r w:rsidRPr="00C56C10">
        <w:t>Baduy</w:t>
      </w:r>
      <w:proofErr w:type="spellEnd"/>
      <w:r w:rsidRPr="00C56C10">
        <w:t xml:space="preserve"> community has received legal recognition within one of the 128 </w:t>
      </w:r>
      <w:r w:rsidR="008B6BAA">
        <w:t xml:space="preserve">identified </w:t>
      </w:r>
      <w:r w:rsidRPr="00C56C10">
        <w:t>regulations protecting Indigenous Peoples' rights</w:t>
      </w:r>
      <w:r w:rsidR="00C726E0">
        <w:t>.</w:t>
      </w:r>
      <w:r>
        <w:fldChar w:fldCharType="begin"/>
      </w:r>
      <w:r w:rsidR="00610650">
        <w:instrText xml:space="preserve"> ADDIN EN.CITE &lt;EndNote&gt;&lt;Cite&gt;&lt;Author&gt;Wirjadisastra&lt;/Author&gt;&lt;Year&gt;2021&lt;/Year&gt;&lt;RecNum&gt;296&lt;/RecNum&gt;&lt;DisplayText&gt;&lt;style face="superscript"&gt;15&lt;/style&gt;&lt;/DisplayText&gt;&lt;record&gt;&lt;rec-number&gt;296&lt;/rec-number&gt;&lt;foreign-keys&gt;&lt;key app="EN" db-id="rv99xx29i29az8e9w2sve9dme5r9stp9a205" timestamp="1731347687"&gt;296&lt;/key&gt;&lt;/foreign-keys&gt;&lt;ref-type name="Web Page"&gt;12&lt;/ref-type&gt;&lt;contributors&gt;&lt;authors&gt;&lt;author&gt;Wirjadisastra&lt;/author&gt;&lt;/authors&gt;&lt;/contributors&gt;&lt;titles&gt;&lt;title&gt;Wiki masyarakat adat: compiling data of Indonesian regulations about Indigenous people in Wikimedia projects &lt;/title&gt;&lt;/titles&gt;&lt;volume&gt;2024&lt;/volume&gt;&lt;number&gt;November 6&lt;/number&gt;&lt;dates&gt;&lt;year&gt;2021&lt;/year&gt;&lt;/dates&gt;&lt;publisher&gt;Diff, a Wikimedia community blog&lt;/publisher&gt;&lt;urls&gt;&lt;related-urls&gt;&lt;url&gt;https://diff.wikimedia.org/2021/02/01/wiki-masyarakat-adat-compiling-data-of-indonesian-regulations-about-indigenous-people-in-wikimedia-projects/&lt;/url&gt;&lt;/related-urls&gt;&lt;/urls&gt;&lt;/record&gt;&lt;/Cite&gt;&lt;/EndNote&gt;</w:instrText>
      </w:r>
      <w:r>
        <w:fldChar w:fldCharType="separate"/>
      </w:r>
      <w:r w:rsidR="00610650" w:rsidRPr="00610650">
        <w:rPr>
          <w:noProof/>
          <w:vertAlign w:val="superscript"/>
        </w:rPr>
        <w:t>15</w:t>
      </w:r>
      <w:r>
        <w:fldChar w:fldCharType="end"/>
      </w:r>
      <w:r w:rsidRPr="00C56C10">
        <w:t xml:space="preserve"> </w:t>
      </w:r>
      <w:r w:rsidRPr="000769E4">
        <w:t xml:space="preserve">Figure 2 shows the location where regulations </w:t>
      </w:r>
      <w:r w:rsidR="008B2158">
        <w:t>for</w:t>
      </w:r>
      <w:r w:rsidRPr="000769E4">
        <w:t xml:space="preserve"> Indigenous People are in force.</w:t>
      </w:r>
      <w:r>
        <w:t xml:space="preserve"> </w:t>
      </w:r>
    </w:p>
    <w:p w14:paraId="46366C52" w14:textId="77777777" w:rsidR="00610650" w:rsidRPr="00037752" w:rsidRDefault="00610650" w:rsidP="00610650">
      <w:pPr>
        <w:spacing w:line="480" w:lineRule="auto"/>
      </w:pPr>
      <w:r w:rsidRPr="00037752">
        <w:rPr>
          <w:noProof/>
        </w:rPr>
        <w:lastRenderedPageBreak/>
        <w:drawing>
          <wp:inline distT="0" distB="0" distL="0" distR="0" wp14:anchorId="11906DEC" wp14:editId="6CD5A929">
            <wp:extent cx="5943600" cy="2356485"/>
            <wp:effectExtent l="0" t="0" r="0" b="5715"/>
            <wp:docPr id="822265738" name="Picture 5" descr="A map of the country with red ballo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65738" name="Picture 5" descr="A map of the country with red balloon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56485"/>
                    </a:xfrm>
                    <a:prstGeom prst="rect">
                      <a:avLst/>
                    </a:prstGeom>
                    <a:noFill/>
                    <a:ln>
                      <a:noFill/>
                    </a:ln>
                  </pic:spPr>
                </pic:pic>
              </a:graphicData>
            </a:graphic>
          </wp:inline>
        </w:drawing>
      </w:r>
    </w:p>
    <w:p w14:paraId="30E663D3" w14:textId="5964CF1A" w:rsidR="00610650" w:rsidRPr="00560E1A" w:rsidRDefault="00610650" w:rsidP="00610650">
      <w:pPr>
        <w:spacing w:line="480" w:lineRule="auto"/>
      </w:pPr>
      <w:r>
        <w:t xml:space="preserve">Figure 2. Map of the location where regulations of Indigenous People are in force. (Adapted from </w:t>
      </w:r>
      <w:r>
        <w:fldChar w:fldCharType="begin"/>
      </w:r>
      <w:r>
        <w:instrText xml:space="preserve"> ADDIN EN.CITE &lt;EndNote&gt;&lt;Cite AuthorYear="1"&gt;&lt;Author&gt;Wirjadisastra&lt;/Author&gt;&lt;Year&gt;2021&lt;/Year&gt;&lt;RecNum&gt;296&lt;/RecNum&gt;&lt;DisplayText&gt;Wirjadisastra &lt;style face="superscript"&gt;15&lt;/style&gt;&lt;/DisplayText&gt;&lt;record&gt;&lt;rec-number&gt;296&lt;/rec-number&gt;&lt;foreign-keys&gt;&lt;key app="EN" db-id="rv99xx29i29az8e9w2sve9dme5r9stp9a205" timestamp="1731347687"&gt;296&lt;/key&gt;&lt;/foreign-keys&gt;&lt;ref-type name="Web Page"&gt;12&lt;/ref-type&gt;&lt;contributors&gt;&lt;authors&gt;&lt;author&gt;Wirjadisastra&lt;/author&gt;&lt;/authors&gt;&lt;/contributors&gt;&lt;titles&gt;&lt;title&gt;Wiki masyarakat adat: compiling data of Indonesian regulations about Indigenous people in Wikimedia projects &lt;/title&gt;&lt;/titles&gt;&lt;volume&gt;2024&lt;/volume&gt;&lt;number&gt;November 6&lt;/number&gt;&lt;dates&gt;&lt;year&gt;2021&lt;/year&gt;&lt;/dates&gt;&lt;publisher&gt;Diff, a Wikimedia community blog&lt;/publisher&gt;&lt;urls&gt;&lt;related-urls&gt;&lt;url&gt;https://diff.wikimedia.org/2021/02/01/wiki-masyarakat-adat-compiling-data-of-indonesian-regulations-about-indigenous-people-in-wikimedia-projects/&lt;/url&gt;&lt;/related-urls&gt;&lt;/urls&gt;&lt;/record&gt;&lt;/Cite&gt;&lt;/EndNote&gt;</w:instrText>
      </w:r>
      <w:r>
        <w:fldChar w:fldCharType="separate"/>
      </w:r>
      <w:r>
        <w:rPr>
          <w:noProof/>
        </w:rPr>
        <w:t xml:space="preserve">Wirjadisastra </w:t>
      </w:r>
      <w:r w:rsidRPr="00610650">
        <w:rPr>
          <w:noProof/>
          <w:vertAlign w:val="superscript"/>
        </w:rPr>
        <w:t>15</w:t>
      </w:r>
      <w:r>
        <w:fldChar w:fldCharType="end"/>
      </w:r>
      <w:r>
        <w:t>)</w:t>
      </w:r>
    </w:p>
    <w:p w14:paraId="5933E5A2" w14:textId="7BF55D50" w:rsidR="000769E4" w:rsidRDefault="00C56C10" w:rsidP="00AB17A8">
      <w:pPr>
        <w:spacing w:line="480" w:lineRule="auto"/>
      </w:pPr>
      <w:r w:rsidRPr="00C56C10">
        <w:t>Following the 16th Conference of the Parties to the Convention on Biological Diversity (COP 16 CBD) in Cali, Colombia, in 2024, Indonesia is expected to establish a Subsidiary Body on Article 8(j) to protect traditional knowledge and practices related to biodiversity</w:t>
      </w:r>
      <w:r w:rsidR="00F53381">
        <w:t>,</w:t>
      </w:r>
      <w:r w:rsidR="006F3E85">
        <w:fldChar w:fldCharType="begin"/>
      </w:r>
      <w:r w:rsidR="00610650">
        <w:instrText xml:space="preserve"> ADDIN EN.CITE &lt;EndNote&gt;&lt;Cite&gt;&lt;Author&gt;Aulia&lt;/Author&gt;&lt;Year&gt;2024&lt;/Year&gt;&lt;RecNum&gt;300&lt;/RecNum&gt;&lt;DisplayText&gt;&lt;style face="superscript"&gt;14 16&lt;/style&gt;&lt;/DisplayText&gt;&lt;record&gt;&lt;rec-number&gt;300&lt;/rec-number&gt;&lt;foreign-keys&gt;&lt;key app="EN" db-id="rv99xx29i29az8e9w2sve9dme5r9stp9a205" timestamp="1731354930"&gt;300&lt;/key&gt;&lt;/foreign-keys&gt;&lt;ref-type name="Press Release"&gt;63&lt;/ref-type&gt;&lt;contributors&gt;&lt;authors&gt;&lt;author&gt;Aulia, Ogy Dwi&lt;/author&gt;&lt;author&gt;Julianty, Cindy&lt;/author&gt;&lt;author&gt;Renggi, Eustobio Rero&lt;/author&gt;&lt;/authors&gt;&lt;/contributors&gt;&lt;titles&gt;&lt;title&gt;Masyarakat Sipil Indonesia Desak Pemerintah Dukung Agenda Masyarakat Adat di COP 16 CBD (Indonesian Civil Society Urges Government to Support Indigenous Peoples Agenda at COP 16 CBD)&lt;/title&gt;&lt;/titles&gt;&lt;dates&gt;&lt;year&gt;2024&lt;/year&gt;&lt;/dates&gt;&lt;pub-location&gt;Cali&lt;/pub-location&gt;&lt;urls&gt;&lt;related-urls&gt;&lt;url&gt;https://aman.or.id/publication-documentation/282&lt;/url&gt;&lt;/related-urls&gt;&lt;/urls&gt;&lt;/record&gt;&lt;/Cite&gt;&lt;Cite&gt;&lt;Author&gt;Pangestu&lt;/Author&gt;&lt;Year&gt;2024&lt;/Year&gt;&lt;RecNum&gt;302&lt;/RecNum&gt;&lt;record&gt;&lt;rec-number&gt;302&lt;/rec-number&gt;&lt;foreign-keys&gt;&lt;key app="EN" db-id="rv99xx29i29az8e9w2sve9dme5r9stp9a205" timestamp="1731362875"&gt;302&lt;/key&gt;&lt;/foreign-keys&gt;&lt;ref-type name="Web Page"&gt;12&lt;/ref-type&gt;&lt;contributors&gt;&lt;authors&gt;&lt;author&gt;Pangestu, Titi&lt;/author&gt;&lt;author&gt;Gunawan, Apriadi&lt;/author&gt;&lt;/authors&gt;&lt;/contributors&gt;&lt;titles&gt;&lt;title&gt;Indonesia Dukung Pembentukan Badan Permanen Masyarakat Adat di COP16, AMAN : Ini Langkah Progresif (Indonesia Supports the Formation of a Permanent Body for Indigenous Peoples at COP16, AMAN: A Progressive Step)&lt;/title&gt;&lt;/titles&gt;&lt;volume&gt;2024&lt;/volume&gt;&lt;number&gt;November 7&lt;/number&gt;&lt;dates&gt;&lt;year&gt;2024&lt;/year&gt;&lt;/dates&gt;&lt;pub-location&gt;Jakarta&lt;/pub-location&gt;&lt;publisher&gt;Aliansi Masyarakat Adat Nusantara&lt;/publisher&gt;&lt;urls&gt;&lt;related-urls&gt;&lt;url&gt;https://aman.or.id/news/read/1952&lt;/url&gt;&lt;/related-urls&gt;&lt;/urls&gt;&lt;/record&gt;&lt;/Cite&gt;&lt;/EndNote&gt;</w:instrText>
      </w:r>
      <w:r w:rsidR="006F3E85">
        <w:fldChar w:fldCharType="separate"/>
      </w:r>
      <w:r w:rsidR="00610650" w:rsidRPr="00610650">
        <w:rPr>
          <w:noProof/>
          <w:vertAlign w:val="superscript"/>
        </w:rPr>
        <w:t>14 16</w:t>
      </w:r>
      <w:r w:rsidR="006F3E85">
        <w:fldChar w:fldCharType="end"/>
      </w:r>
      <w:r w:rsidRPr="00C56C10">
        <w:t xml:space="preserve"> marking a significant step toward improving the implementation and enforcement of Indigenous rights, which are often overlooked</w:t>
      </w:r>
      <w:r w:rsidR="00F7343F">
        <w:t xml:space="preserve"> </w:t>
      </w:r>
      <w:r w:rsidR="00F7343F" w:rsidRPr="00F7343F">
        <w:t>or disregarded in practice</w:t>
      </w:r>
      <w:r w:rsidR="00C726E0">
        <w:t>.</w:t>
      </w:r>
      <w:r w:rsidR="00A05CA0">
        <w:fldChar w:fldCharType="begin"/>
      </w:r>
      <w:r w:rsidR="00E05369">
        <w:instrText xml:space="preserve"> ADDIN EN.CITE &lt;EndNote&gt;&lt;Cite&gt;&lt;Author&gt;International Work Group for Indigenous Affairs&lt;/Author&gt;&lt;Year&gt;2024&lt;/Year&gt;&lt;RecNum&gt;301&lt;/RecNum&gt;&lt;DisplayText&gt;&lt;style face="superscript"&gt;17&lt;/style&gt;&lt;/DisplayText&gt;&lt;record&gt;&lt;rec-number&gt;301&lt;/rec-number&gt;&lt;foreign-keys&gt;&lt;key app="EN" db-id="rv99xx29i29az8e9w2sve9dme5r9stp9a205" timestamp="1731362489"&gt;301&lt;/key&gt;&lt;/foreign-keys&gt;&lt;ref-type name="Report"&gt;27&lt;/ref-type&gt;&lt;contributors&gt;&lt;authors&gt;&lt;author&gt;International Work Group for Indigenous Affairs,&lt;/author&gt;&lt;/authors&gt;&lt;secondary-authors&gt;&lt;author&gt;Mamo, Dwayne&lt;/author&gt;&lt;/secondary-authors&gt;&lt;tertiary-authors&gt;&lt;author&gt; Eks-Skolens Grafisk Design &amp;amp; Tryk&lt;/author&gt;&lt;/tertiary-authors&gt;&lt;/contributors&gt;&lt;titles&gt;&lt;title&gt;The indigenous world 2024&lt;/title&gt;&lt;/titles&gt;&lt;pages&gt;688&lt;/pages&gt;&lt;edition&gt;38&lt;/edition&gt;&lt;dates&gt;&lt;year&gt;2024&lt;/year&gt;&lt;/dates&gt;&lt;pub-location&gt;Copenhagen&lt;/pub-location&gt;&lt;publisher&gt;International Work Group for Indigenous Affairs (IWGIA)&lt;/publisher&gt;&lt;urls&gt;&lt;/urls&gt;&lt;/record&gt;&lt;/Cite&gt;&lt;/EndNote&gt;</w:instrText>
      </w:r>
      <w:r w:rsidR="00A05CA0">
        <w:fldChar w:fldCharType="separate"/>
      </w:r>
      <w:r w:rsidR="00E05369" w:rsidRPr="00E05369">
        <w:rPr>
          <w:noProof/>
          <w:vertAlign w:val="superscript"/>
        </w:rPr>
        <w:t>17</w:t>
      </w:r>
      <w:r w:rsidR="00A05CA0">
        <w:fldChar w:fldCharType="end"/>
      </w:r>
      <w:r w:rsidRPr="00C56C10">
        <w:t xml:space="preserve"> </w:t>
      </w:r>
      <w:r w:rsidR="00067745">
        <w:t xml:space="preserve">Even though COP 16 CBD </w:t>
      </w:r>
      <w:r w:rsidR="00F22D3D">
        <w:t>focuses</w:t>
      </w:r>
      <w:r w:rsidR="0019661F">
        <w:t xml:space="preserve"> its work heavily </w:t>
      </w:r>
      <w:r w:rsidR="00E9787A">
        <w:t>on</w:t>
      </w:r>
      <w:r w:rsidR="0019661F">
        <w:t xml:space="preserve"> biodiversity, </w:t>
      </w:r>
      <w:r w:rsidR="00A474C3">
        <w:t xml:space="preserve">it </w:t>
      </w:r>
      <w:r w:rsidR="00A371C7">
        <w:t xml:space="preserve">shares </w:t>
      </w:r>
      <w:r w:rsidR="005437D7">
        <w:t xml:space="preserve">a </w:t>
      </w:r>
      <w:r w:rsidR="00A474C3">
        <w:t xml:space="preserve">similar interest </w:t>
      </w:r>
      <w:r w:rsidR="00A371C7">
        <w:t xml:space="preserve">in </w:t>
      </w:r>
      <w:r w:rsidR="00F22D3D">
        <w:t xml:space="preserve">respecting traditional cultures and knowledge. </w:t>
      </w:r>
      <w:r w:rsidR="00F058F4">
        <w:t xml:space="preserve">From </w:t>
      </w:r>
      <w:r w:rsidR="001475C6">
        <w:t xml:space="preserve">a </w:t>
      </w:r>
      <w:r w:rsidR="00F058F4">
        <w:t>public health perspective</w:t>
      </w:r>
      <w:r w:rsidR="00052021">
        <w:t>, t</w:t>
      </w:r>
      <w:r w:rsidRPr="00C56C10">
        <w:t xml:space="preserve">he traditional wisdom of the </w:t>
      </w:r>
      <w:proofErr w:type="spellStart"/>
      <w:r w:rsidRPr="00C56C10">
        <w:t>Baduy</w:t>
      </w:r>
      <w:proofErr w:type="spellEnd"/>
      <w:r w:rsidRPr="00C56C10">
        <w:t xml:space="preserve"> should be respected and preserved, as it aligns with sustainable living and offers a healthier model within a country grappling with tobacco-related health burdens. E</w:t>
      </w:r>
      <w:r w:rsidR="000769E4">
        <w:t>stablish</w:t>
      </w:r>
      <w:r w:rsidRPr="00C56C10">
        <w:t xml:space="preserve">ing smoke-free areas in both Inner and Outer </w:t>
      </w:r>
      <w:proofErr w:type="spellStart"/>
      <w:r w:rsidRPr="00C56C10">
        <w:t>Baduy</w:t>
      </w:r>
      <w:proofErr w:type="spellEnd"/>
      <w:r w:rsidRPr="00C56C10">
        <w:t xml:space="preserve"> could be a way to safeguard their community from tobacco industry influences. </w:t>
      </w:r>
      <w:r w:rsidR="00C538CD">
        <w:t>Moreover, c</w:t>
      </w:r>
      <w:r w:rsidRPr="00C56C10">
        <w:t xml:space="preserve">hallenges </w:t>
      </w:r>
      <w:r w:rsidRPr="00C56C10">
        <w:lastRenderedPageBreak/>
        <w:t xml:space="preserve">from modernization are felt widely among Indonesia’s Indigenous communities. It remains uncertain how many Indigenous groups share </w:t>
      </w:r>
      <w:proofErr w:type="spellStart"/>
      <w:r w:rsidRPr="00C56C10">
        <w:t>Baduy's</w:t>
      </w:r>
      <w:proofErr w:type="spellEnd"/>
      <w:r w:rsidRPr="00C56C10">
        <w:t xml:space="preserve"> smoke-free philosophy, warranting further research to uncover other Indigenous wisdoms that may foster healthier cultural norms across Indonesia. Such knowledge can promote a renewed understanding among Indonesians, highlighting that the essence of their cultural heritage lies in environmental stewardship, harmony, and profound respect for the </w:t>
      </w:r>
      <w:r w:rsidR="00CF4F20">
        <w:t>natural and</w:t>
      </w:r>
      <w:r w:rsidR="00205179">
        <w:t xml:space="preserve"> healthy lifestyle</w:t>
      </w:r>
      <w:r w:rsidRPr="00C56C10">
        <w:t>.</w:t>
      </w:r>
    </w:p>
    <w:p w14:paraId="5825E5E4" w14:textId="718D2CC7" w:rsidR="00BA700C" w:rsidRPr="00610650" w:rsidRDefault="00BA700C" w:rsidP="00AB17A8">
      <w:pPr>
        <w:spacing w:line="480" w:lineRule="auto"/>
        <w:rPr>
          <w:b/>
          <w:bCs/>
        </w:rPr>
      </w:pPr>
      <w:r w:rsidRPr="00610650">
        <w:rPr>
          <w:b/>
          <w:bCs/>
        </w:rPr>
        <w:t>Acknowledgement</w:t>
      </w:r>
    </w:p>
    <w:p w14:paraId="0A530E22" w14:textId="5692C90E" w:rsidR="00BA700C" w:rsidRDefault="001929B8" w:rsidP="00AB17A8">
      <w:pPr>
        <w:spacing w:line="480" w:lineRule="auto"/>
      </w:pPr>
      <w:r w:rsidRPr="001929B8">
        <w:t>We would like to express our sincere gratitude to Any Sundar</w:t>
      </w:r>
      <w:r w:rsidR="00582986">
        <w:t>i</w:t>
      </w:r>
      <w:r w:rsidRPr="001929B8">
        <w:t xml:space="preserve"> and Dani </w:t>
      </w:r>
      <w:proofErr w:type="spellStart"/>
      <w:r w:rsidR="008109DB" w:rsidRPr="008109DB">
        <w:t>Catrianiningsih</w:t>
      </w:r>
      <w:proofErr w:type="spellEnd"/>
      <w:r w:rsidRPr="001929B8">
        <w:t xml:space="preserve"> for their invaluable contribution in providing first-hand information and insights as visitors and observers to the </w:t>
      </w:r>
      <w:proofErr w:type="spellStart"/>
      <w:r w:rsidRPr="001929B8">
        <w:t>Baduy</w:t>
      </w:r>
      <w:proofErr w:type="spellEnd"/>
      <w:r w:rsidRPr="001929B8">
        <w:t xml:space="preserve"> community.</w:t>
      </w:r>
      <w:r w:rsidR="001461A5">
        <w:t xml:space="preserve"> </w:t>
      </w:r>
      <w:r w:rsidR="001461A5" w:rsidRPr="001461A5">
        <w:t xml:space="preserve">We are also deeply appreciative of the photographs they generously shared, which offer a unique and powerful visual perspective on this remarkable community. </w:t>
      </w:r>
    </w:p>
    <w:p w14:paraId="41087F58" w14:textId="77777777" w:rsidR="004D70D3" w:rsidRPr="00610650" w:rsidRDefault="004D70D3" w:rsidP="00AB17A8">
      <w:pPr>
        <w:spacing w:line="480" w:lineRule="auto"/>
        <w:rPr>
          <w:b/>
          <w:bCs/>
        </w:rPr>
      </w:pPr>
      <w:r w:rsidRPr="00610650">
        <w:rPr>
          <w:b/>
          <w:bCs/>
        </w:rPr>
        <w:t>Funding Statement</w:t>
      </w:r>
    </w:p>
    <w:p w14:paraId="4978FE7F" w14:textId="6D57D4A3" w:rsidR="00524206" w:rsidRPr="00524206" w:rsidRDefault="00524206" w:rsidP="00AB17A8">
      <w:pPr>
        <w:spacing w:line="480" w:lineRule="auto"/>
      </w:pPr>
      <w:r w:rsidRPr="00524206">
        <w:t xml:space="preserve">Funding provided by the </w:t>
      </w:r>
      <w:r w:rsidRPr="00524206">
        <w:rPr>
          <w:i/>
          <w:iCs/>
        </w:rPr>
        <w:t>Bloomberg Initiative to Reduce Tobacco Use</w:t>
      </w:r>
      <w:r w:rsidR="00FC0FAC">
        <w:t xml:space="preserve"> </w:t>
      </w:r>
      <w:r w:rsidRPr="00524206">
        <w:t>through the CDC Foundation with a grant from Bloomberg Philanthropies.</w:t>
      </w:r>
    </w:p>
    <w:p w14:paraId="41C817DE" w14:textId="77777777" w:rsidR="00524206" w:rsidRPr="00524206" w:rsidRDefault="00524206" w:rsidP="00AB17A8">
      <w:pPr>
        <w:spacing w:line="480" w:lineRule="auto"/>
      </w:pPr>
      <w:r w:rsidRPr="00524206">
        <w:t>The findings and conclusions in this report are those of the authors and do not necessarily represent the official position of the CDC Foundation.</w:t>
      </w:r>
    </w:p>
    <w:p w14:paraId="41183A41" w14:textId="77777777" w:rsidR="00717D8E" w:rsidRDefault="00717D8E" w:rsidP="00AB17A8">
      <w:pPr>
        <w:spacing w:line="480" w:lineRule="auto"/>
      </w:pPr>
    </w:p>
    <w:p w14:paraId="5AB4327D" w14:textId="0DE7598A" w:rsidR="000E6C7E" w:rsidRPr="00610650" w:rsidRDefault="000E6C7E" w:rsidP="00AB17A8">
      <w:pPr>
        <w:spacing w:line="480" w:lineRule="auto"/>
        <w:rPr>
          <w:b/>
          <w:bCs/>
        </w:rPr>
      </w:pPr>
      <w:r w:rsidRPr="00610650">
        <w:rPr>
          <w:b/>
          <w:bCs/>
        </w:rPr>
        <w:lastRenderedPageBreak/>
        <w:t>References</w:t>
      </w:r>
    </w:p>
    <w:p w14:paraId="23693C9D" w14:textId="0A5388D2" w:rsidR="00610650" w:rsidRPr="00610650" w:rsidRDefault="000769E4" w:rsidP="00610650">
      <w:pPr>
        <w:pStyle w:val="EndNoteBibliography"/>
        <w:spacing w:after="0"/>
        <w:ind w:left="720" w:hanging="720"/>
      </w:pPr>
      <w:r>
        <w:fldChar w:fldCharType="begin"/>
      </w:r>
      <w:r>
        <w:instrText xml:space="preserve"> ADDIN EN.REFLIST </w:instrText>
      </w:r>
      <w:r>
        <w:fldChar w:fldCharType="separate"/>
      </w:r>
      <w:r w:rsidR="00610650" w:rsidRPr="00610650">
        <w:t xml:space="preserve">1. As E, Aliyudin M, Nurdin FS, et al. Sunda Wiwitan: The Belief System of Baduy Indigenous Community, Banten, Indonesia. </w:t>
      </w:r>
      <w:r w:rsidR="00610650" w:rsidRPr="00610650">
        <w:rPr>
          <w:i/>
        </w:rPr>
        <w:t>Wawasan: Jurnal Ilmiah Agama dan Sosial Budaya</w:t>
      </w:r>
      <w:r w:rsidR="00610650" w:rsidRPr="00610650">
        <w:t xml:space="preserve"> 2020;5(1):77-95. doi: </w:t>
      </w:r>
      <w:hyperlink r:id="rId11" w:history="1">
        <w:r w:rsidR="00610650" w:rsidRPr="00610650">
          <w:rPr>
            <w:rStyle w:val="Hyperlink"/>
          </w:rPr>
          <w:t>https://doi.org/10.15575/jw.v5i1.8069</w:t>
        </w:r>
      </w:hyperlink>
    </w:p>
    <w:p w14:paraId="2C12E8D8" w14:textId="77777777" w:rsidR="00610650" w:rsidRPr="00610650" w:rsidRDefault="00610650" w:rsidP="00610650">
      <w:pPr>
        <w:pStyle w:val="EndNoteBibliography"/>
        <w:spacing w:after="0"/>
        <w:ind w:left="720" w:hanging="720"/>
      </w:pPr>
      <w:r w:rsidRPr="00610650">
        <w:t xml:space="preserve">2. Mirajiani, Sulaeni, Sutisna T. The local farming system based on custom and tradition to achieve sustainable agriculture in Baduy indigenous community. </w:t>
      </w:r>
      <w:r w:rsidRPr="00610650">
        <w:rPr>
          <w:i/>
        </w:rPr>
        <w:t>IOP Conference Series: Earth and Environmental Science</w:t>
      </w:r>
      <w:r w:rsidRPr="00610650">
        <w:t xml:space="preserve"> 2019;383(1):012032. doi: 10.1088/1755-1315/383/1/012032</w:t>
      </w:r>
    </w:p>
    <w:p w14:paraId="2DAA618D" w14:textId="2244DF7B" w:rsidR="00610650" w:rsidRPr="00610650" w:rsidRDefault="00610650" w:rsidP="00610650">
      <w:pPr>
        <w:pStyle w:val="EndNoteBibliography"/>
        <w:spacing w:after="0"/>
        <w:ind w:left="720" w:hanging="720"/>
      </w:pPr>
      <w:r w:rsidRPr="00610650">
        <w:t xml:space="preserve">3. Muntaha PZ, Runturambi AJS. The Local Wisdom of Baduy Reviewed From the Perspective of SDGs Concept: Research in the Indigenous People of Baduy, Lebak, Banten. </w:t>
      </w:r>
      <w:r w:rsidRPr="00610650">
        <w:rPr>
          <w:i/>
        </w:rPr>
        <w:t>Int J of Adv Res</w:t>
      </w:r>
      <w:r w:rsidRPr="00610650">
        <w:t xml:space="preserve"> 2020;8:91-101. doi: </w:t>
      </w:r>
      <w:hyperlink r:id="rId12" w:history="1">
        <w:r w:rsidRPr="00610650">
          <w:rPr>
            <w:rStyle w:val="Hyperlink"/>
          </w:rPr>
          <w:t>https://dx.doi.org/10.21474/IJAR01/10602</w:t>
        </w:r>
      </w:hyperlink>
    </w:p>
    <w:p w14:paraId="3C6E059E" w14:textId="77777777" w:rsidR="00610650" w:rsidRPr="00610650" w:rsidRDefault="00610650" w:rsidP="00610650">
      <w:pPr>
        <w:pStyle w:val="EndNoteBibliography"/>
        <w:spacing w:after="0"/>
        <w:ind w:left="720" w:hanging="720"/>
      </w:pPr>
      <w:r w:rsidRPr="00610650">
        <w:t>4. Sasih A, Ananda A, Khaidir A. Ngukok tradition; A smoking habit in Kubang village2018.</w:t>
      </w:r>
    </w:p>
    <w:p w14:paraId="4847670D" w14:textId="77777777" w:rsidR="00610650" w:rsidRPr="00610650" w:rsidRDefault="00610650" w:rsidP="00610650">
      <w:pPr>
        <w:pStyle w:val="EndNoteBibliography"/>
        <w:spacing w:after="0"/>
        <w:ind w:left="720" w:hanging="720"/>
      </w:pPr>
      <w:r w:rsidRPr="00610650">
        <w:t>5. Kementrian Kesehatan Republik Indonesia. Laporan Nasional Riset Kesehatan Dasar Indonesia 2018. Jakarta, 2018.</w:t>
      </w:r>
    </w:p>
    <w:p w14:paraId="50B2D69E" w14:textId="77777777" w:rsidR="00610650" w:rsidRPr="00610650" w:rsidRDefault="00610650" w:rsidP="00610650">
      <w:pPr>
        <w:pStyle w:val="EndNoteBibliography"/>
        <w:spacing w:after="0"/>
        <w:ind w:left="720" w:hanging="720"/>
      </w:pPr>
      <w:r w:rsidRPr="00610650">
        <w:t>6. World Health Organization. WHO global report on trends in prevalence of tobacco use 2000-2025, third edition. 3rd ed. Geneva, 2019.</w:t>
      </w:r>
    </w:p>
    <w:p w14:paraId="750321D8" w14:textId="68AE024A" w:rsidR="00610650" w:rsidRPr="00610650" w:rsidRDefault="00610650" w:rsidP="00610650">
      <w:pPr>
        <w:pStyle w:val="EndNoteBibliography"/>
        <w:spacing w:after="0"/>
        <w:ind w:left="720" w:hanging="720"/>
      </w:pPr>
      <w:r w:rsidRPr="00610650">
        <w:t xml:space="preserve">7. The Tobacco Atlas. Country factsheets: Indonesia 2019 [Available from: </w:t>
      </w:r>
      <w:hyperlink r:id="rId13" w:history="1">
        <w:r w:rsidRPr="00610650">
          <w:rPr>
            <w:rStyle w:val="Hyperlink"/>
          </w:rPr>
          <w:t>https://tobaccoatlas.org/factsheets/indonesia/</w:t>
        </w:r>
      </w:hyperlink>
      <w:r w:rsidRPr="00610650">
        <w:t xml:space="preserve"> accessed July 5th 2024.</w:t>
      </w:r>
    </w:p>
    <w:p w14:paraId="201BDBE8" w14:textId="77777777" w:rsidR="00610650" w:rsidRPr="00610650" w:rsidRDefault="00610650" w:rsidP="00610650">
      <w:pPr>
        <w:pStyle w:val="EndNoteBibliography"/>
        <w:spacing w:after="0"/>
        <w:ind w:left="720" w:hanging="720"/>
      </w:pPr>
      <w:r w:rsidRPr="00610650">
        <w:t xml:space="preserve">8. Martini S, Artanti KD, Hargono A, et al. Association between percentage of smokers and prevalence of smoking attributable morbidity in Indonesia: one decade after implementation of smoke-free area regulation. </w:t>
      </w:r>
      <w:r w:rsidRPr="00610650">
        <w:rPr>
          <w:i/>
        </w:rPr>
        <w:t>BMC Public Health</w:t>
      </w:r>
      <w:r w:rsidRPr="00610650">
        <w:t xml:space="preserve"> 2022;22(1):2202. doi: 10.1186/s12889-022-14435-8</w:t>
      </w:r>
    </w:p>
    <w:p w14:paraId="2C7F9CF5" w14:textId="77777777" w:rsidR="00610650" w:rsidRPr="00610650" w:rsidRDefault="00610650" w:rsidP="00610650">
      <w:pPr>
        <w:pStyle w:val="EndNoteBibliography"/>
        <w:spacing w:after="0"/>
        <w:ind w:left="720" w:hanging="720"/>
      </w:pPr>
      <w:r w:rsidRPr="00610650">
        <w:t xml:space="preserve">9. Astuti PAS, Freeman B. “It is merely a paper tiger.” Battle for increased tobacco advertising regulation in Indonesia: content analysis of news articles. </w:t>
      </w:r>
      <w:r w:rsidRPr="00610650">
        <w:rPr>
          <w:i/>
        </w:rPr>
        <w:t>BMJ Open</w:t>
      </w:r>
      <w:r w:rsidRPr="00610650">
        <w:t xml:space="preserve"> 2017;7(9):e016975. doi: 10.1136/bmjopen-2017-016975</w:t>
      </w:r>
    </w:p>
    <w:p w14:paraId="2F9F3B62" w14:textId="77777777" w:rsidR="00610650" w:rsidRPr="00610650" w:rsidRDefault="00610650" w:rsidP="00610650">
      <w:pPr>
        <w:pStyle w:val="EndNoteBibliography"/>
        <w:spacing w:after="0"/>
        <w:ind w:left="720" w:hanging="720"/>
      </w:pPr>
      <w:r w:rsidRPr="00610650">
        <w:t>10. Andini K, Isfansyah I. Gadis Kretek (Cigarette Girl): Netflix, 2023.</w:t>
      </w:r>
    </w:p>
    <w:p w14:paraId="02145836" w14:textId="77777777" w:rsidR="00610650" w:rsidRPr="00610650" w:rsidRDefault="00610650" w:rsidP="00610650">
      <w:pPr>
        <w:pStyle w:val="EndNoteBibliography"/>
        <w:spacing w:after="0"/>
        <w:ind w:left="720" w:hanging="720"/>
      </w:pPr>
      <w:r w:rsidRPr="00610650">
        <w:t>11. Welker M. Kretek Capitalism: Making, Marketing, and Consuming Clove Cigarettes in Indonesia. Oakland, California: University of California Press 2024.</w:t>
      </w:r>
    </w:p>
    <w:p w14:paraId="54279E9F" w14:textId="77777777" w:rsidR="00610650" w:rsidRPr="00610650" w:rsidRDefault="00610650" w:rsidP="00610650">
      <w:pPr>
        <w:pStyle w:val="EndNoteBibliography"/>
        <w:spacing w:after="0"/>
        <w:ind w:left="720" w:hanging="720"/>
      </w:pPr>
      <w:r w:rsidRPr="00610650">
        <w:t xml:space="preserve">12. Leo P. Baduy people living between tradition and modernization. </w:t>
      </w:r>
      <w:r w:rsidRPr="00610650">
        <w:rPr>
          <w:i/>
        </w:rPr>
        <w:t>The Jakarta Post</w:t>
      </w:r>
      <w:r w:rsidRPr="00610650">
        <w:t xml:space="preserve"> 2016.</w:t>
      </w:r>
    </w:p>
    <w:p w14:paraId="5AED1855" w14:textId="6F5EB424" w:rsidR="00610650" w:rsidRPr="00610650" w:rsidRDefault="00610650" w:rsidP="00610650">
      <w:pPr>
        <w:pStyle w:val="EndNoteBibliography"/>
        <w:spacing w:after="0"/>
        <w:ind w:left="720" w:hanging="720"/>
      </w:pPr>
      <w:r w:rsidRPr="00610650">
        <w:t xml:space="preserve">13. Rinesti L. Indigenous people of Indonesia: Fight for their way: Climate Tracker Asia; 2022 [Available from: </w:t>
      </w:r>
      <w:hyperlink r:id="rId14" w:history="1">
        <w:r w:rsidRPr="00610650">
          <w:rPr>
            <w:rStyle w:val="Hyperlink"/>
          </w:rPr>
          <w:t>https://climatetracker.asia/indigenous-people-of-indonesia-fight-for-their-way/</w:t>
        </w:r>
      </w:hyperlink>
      <w:r w:rsidRPr="00610650">
        <w:t xml:space="preserve"> accessed November 7 2024.</w:t>
      </w:r>
    </w:p>
    <w:p w14:paraId="01282A09" w14:textId="77777777" w:rsidR="00610650" w:rsidRPr="00610650" w:rsidRDefault="00610650" w:rsidP="00610650">
      <w:pPr>
        <w:pStyle w:val="EndNoteBibliography"/>
        <w:spacing w:after="0"/>
        <w:ind w:left="720" w:hanging="720"/>
      </w:pPr>
      <w:r w:rsidRPr="00610650">
        <w:t>14. Aulia OD, Julianty C, Renggi ER. Masyarakat Sipil Indonesia Desak Pemerintah Dukung Agenda Masyarakat Adat di COP 16 CBD (Indonesian Civil Society Urges Government to Support Indigenous Peoples Agenda at COP 16 CBD). Cali, 2024.</w:t>
      </w:r>
    </w:p>
    <w:p w14:paraId="6FF1C605" w14:textId="4C7DB867" w:rsidR="00610650" w:rsidRPr="00610650" w:rsidRDefault="00610650" w:rsidP="00610650">
      <w:pPr>
        <w:pStyle w:val="EndNoteBibliography"/>
        <w:spacing w:after="0"/>
        <w:ind w:left="720" w:hanging="720"/>
      </w:pPr>
      <w:r w:rsidRPr="00610650">
        <w:lastRenderedPageBreak/>
        <w:t xml:space="preserve">15. Wirjadisastra. Wiki masyarakat adat: compiling data of Indonesian regulations about Indigenous people in Wikimedia projects Diff, a Wikimedia community blog; 2021 [Available from: </w:t>
      </w:r>
      <w:hyperlink r:id="rId15" w:history="1">
        <w:r w:rsidRPr="00610650">
          <w:rPr>
            <w:rStyle w:val="Hyperlink"/>
          </w:rPr>
          <w:t>https://diff.wikimedia.org/2021/02/01/wiki-masyarakat-adat-compiling-data-of-indonesian-regulations-about-indigenous-people-in-wikimedia-projects/</w:t>
        </w:r>
      </w:hyperlink>
      <w:r w:rsidRPr="00610650">
        <w:t xml:space="preserve"> accessed November 6 2024.</w:t>
      </w:r>
    </w:p>
    <w:p w14:paraId="61BBE04A" w14:textId="2D702798" w:rsidR="00610650" w:rsidRPr="00610650" w:rsidRDefault="00610650" w:rsidP="00610650">
      <w:pPr>
        <w:pStyle w:val="EndNoteBibliography"/>
        <w:spacing w:after="0"/>
        <w:ind w:left="720" w:hanging="720"/>
      </w:pPr>
      <w:r w:rsidRPr="00610650">
        <w:t xml:space="preserve">16. Pangestu T, Gunawan A. Indonesia Dukung Pembentukan Badan Permanen Masyarakat Adat di COP16, AMAN : Ini Langkah Progresif (Indonesia Supports the Formation of a Permanent Body for Indigenous Peoples at COP16, AMAN: A Progressive Step) Jakarta: Aliansi Masyarakat Adat Nusantara; 2024 [Available from: </w:t>
      </w:r>
      <w:hyperlink r:id="rId16" w:history="1">
        <w:r w:rsidRPr="00610650">
          <w:rPr>
            <w:rStyle w:val="Hyperlink"/>
          </w:rPr>
          <w:t>https://aman.or.id/news/read/1952</w:t>
        </w:r>
      </w:hyperlink>
      <w:r w:rsidRPr="00610650">
        <w:t xml:space="preserve"> accessed November 7 2024.</w:t>
      </w:r>
    </w:p>
    <w:p w14:paraId="11E5D93A" w14:textId="77777777" w:rsidR="00610650" w:rsidRPr="00610650" w:rsidRDefault="00610650" w:rsidP="00610650">
      <w:pPr>
        <w:pStyle w:val="EndNoteBibliography"/>
        <w:ind w:left="720" w:hanging="720"/>
      </w:pPr>
      <w:r w:rsidRPr="00610650">
        <w:t>17. International Work Group for Indigenous Affairs. The indigenous world 2024. In: Mamo D, ed. 38 ed. Copenhagen: International Work Group for Indigenous Affairs (IWGIA), 2024:688.</w:t>
      </w:r>
    </w:p>
    <w:p w14:paraId="566721C8" w14:textId="11F8D3E6" w:rsidR="00C56C10" w:rsidRPr="00C56C10" w:rsidRDefault="000769E4" w:rsidP="00AB17A8">
      <w:pPr>
        <w:spacing w:line="480" w:lineRule="auto"/>
      </w:pPr>
      <w:r>
        <w:fldChar w:fldCharType="end"/>
      </w:r>
    </w:p>
    <w:sectPr w:rsidR="00C56C10" w:rsidRPr="00C56C10" w:rsidSect="00AB17A8">
      <w:pgSz w:w="12240" w:h="15840"/>
      <w:pgMar w:top="2835" w:right="1440" w:bottom="1440" w:left="283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D81F89"/>
    <w:multiLevelType w:val="hybridMultilevel"/>
    <w:tmpl w:val="AD68F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19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OwNDc1sTSyMDMyNzVU0lEKTi0uzszPAykwrAUAxzv7YSwAAAA="/>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99xx29i29az8e9w2sve9dme5r9stp9a205&quot;&gt;My EndNote Library&lt;record-ids&gt;&lt;item&gt;40&lt;/item&gt;&lt;item&gt;41&lt;/item&gt;&lt;item&gt;42&lt;/item&gt;&lt;item&gt;43&lt;/item&gt;&lt;item&gt;45&lt;/item&gt;&lt;item&gt;47&lt;/item&gt;&lt;item&gt;58&lt;/item&gt;&lt;item&gt;59&lt;/item&gt;&lt;item&gt;60&lt;/item&gt;&lt;item&gt;62&lt;/item&gt;&lt;item&gt;296&lt;/item&gt;&lt;item&gt;297&lt;/item&gt;&lt;item&gt;300&lt;/item&gt;&lt;item&gt;301&lt;/item&gt;&lt;item&gt;302&lt;/item&gt;&lt;item&gt;303&lt;/item&gt;&lt;item&gt;304&lt;/item&gt;&lt;/record-ids&gt;&lt;/item&gt;&lt;/Libraries&gt;"/>
  </w:docVars>
  <w:rsids>
    <w:rsidRoot w:val="00C56C10"/>
    <w:rsid w:val="00002182"/>
    <w:rsid w:val="00006390"/>
    <w:rsid w:val="0001251A"/>
    <w:rsid w:val="000258BA"/>
    <w:rsid w:val="0003349F"/>
    <w:rsid w:val="00037752"/>
    <w:rsid w:val="00042D1C"/>
    <w:rsid w:val="00051D87"/>
    <w:rsid w:val="00052021"/>
    <w:rsid w:val="00067745"/>
    <w:rsid w:val="000769E4"/>
    <w:rsid w:val="00090E59"/>
    <w:rsid w:val="000E52C7"/>
    <w:rsid w:val="000E6C7E"/>
    <w:rsid w:val="000F5CED"/>
    <w:rsid w:val="00102D82"/>
    <w:rsid w:val="001101A1"/>
    <w:rsid w:val="001268FF"/>
    <w:rsid w:val="00127019"/>
    <w:rsid w:val="0013767F"/>
    <w:rsid w:val="0014108D"/>
    <w:rsid w:val="001461A5"/>
    <w:rsid w:val="001475C6"/>
    <w:rsid w:val="00165CB6"/>
    <w:rsid w:val="00174A77"/>
    <w:rsid w:val="001929B8"/>
    <w:rsid w:val="0019661F"/>
    <w:rsid w:val="001974D1"/>
    <w:rsid w:val="00197585"/>
    <w:rsid w:val="001A4774"/>
    <w:rsid w:val="001B13D9"/>
    <w:rsid w:val="001D2D43"/>
    <w:rsid w:val="001E3C11"/>
    <w:rsid w:val="001E6FA3"/>
    <w:rsid w:val="00205179"/>
    <w:rsid w:val="00215F7B"/>
    <w:rsid w:val="00226F93"/>
    <w:rsid w:val="00237724"/>
    <w:rsid w:val="00273831"/>
    <w:rsid w:val="002966A2"/>
    <w:rsid w:val="002B198B"/>
    <w:rsid w:val="002C1B63"/>
    <w:rsid w:val="002C3E9E"/>
    <w:rsid w:val="002D5FE3"/>
    <w:rsid w:val="00300A2B"/>
    <w:rsid w:val="00343415"/>
    <w:rsid w:val="0034425A"/>
    <w:rsid w:val="0034431D"/>
    <w:rsid w:val="003571CB"/>
    <w:rsid w:val="00364CE9"/>
    <w:rsid w:val="00380484"/>
    <w:rsid w:val="0038132A"/>
    <w:rsid w:val="003927FD"/>
    <w:rsid w:val="003A1A3D"/>
    <w:rsid w:val="003B2FF6"/>
    <w:rsid w:val="003D4CBE"/>
    <w:rsid w:val="003E3E31"/>
    <w:rsid w:val="003E7AD3"/>
    <w:rsid w:val="0045299C"/>
    <w:rsid w:val="00455FB1"/>
    <w:rsid w:val="00485FAE"/>
    <w:rsid w:val="004D3C96"/>
    <w:rsid w:val="004D4CFA"/>
    <w:rsid w:val="004D70D3"/>
    <w:rsid w:val="004E3D1E"/>
    <w:rsid w:val="004E4AAB"/>
    <w:rsid w:val="0052142B"/>
    <w:rsid w:val="00523505"/>
    <w:rsid w:val="00524206"/>
    <w:rsid w:val="00527CE8"/>
    <w:rsid w:val="005437D7"/>
    <w:rsid w:val="00581401"/>
    <w:rsid w:val="00582986"/>
    <w:rsid w:val="00584A06"/>
    <w:rsid w:val="0059164A"/>
    <w:rsid w:val="00595DFB"/>
    <w:rsid w:val="005B50AC"/>
    <w:rsid w:val="005D040A"/>
    <w:rsid w:val="00610650"/>
    <w:rsid w:val="006210F8"/>
    <w:rsid w:val="0063699F"/>
    <w:rsid w:val="0064752B"/>
    <w:rsid w:val="006672E8"/>
    <w:rsid w:val="00685178"/>
    <w:rsid w:val="006B1645"/>
    <w:rsid w:val="006C2C39"/>
    <w:rsid w:val="006D701F"/>
    <w:rsid w:val="006F3E85"/>
    <w:rsid w:val="00717D8E"/>
    <w:rsid w:val="00722A07"/>
    <w:rsid w:val="00722F90"/>
    <w:rsid w:val="0073166E"/>
    <w:rsid w:val="00735833"/>
    <w:rsid w:val="00760CB1"/>
    <w:rsid w:val="00761FDD"/>
    <w:rsid w:val="00765B53"/>
    <w:rsid w:val="007A4761"/>
    <w:rsid w:val="007E25EC"/>
    <w:rsid w:val="007E29C8"/>
    <w:rsid w:val="007E4FCD"/>
    <w:rsid w:val="00805F78"/>
    <w:rsid w:val="008109DB"/>
    <w:rsid w:val="00812AB0"/>
    <w:rsid w:val="008165F8"/>
    <w:rsid w:val="00847146"/>
    <w:rsid w:val="008472F1"/>
    <w:rsid w:val="008660C8"/>
    <w:rsid w:val="00876541"/>
    <w:rsid w:val="008825C2"/>
    <w:rsid w:val="008B2158"/>
    <w:rsid w:val="008B4C49"/>
    <w:rsid w:val="008B6BAA"/>
    <w:rsid w:val="008D1CBC"/>
    <w:rsid w:val="008E5009"/>
    <w:rsid w:val="008F3B65"/>
    <w:rsid w:val="009050BE"/>
    <w:rsid w:val="00905E47"/>
    <w:rsid w:val="00933772"/>
    <w:rsid w:val="00934C54"/>
    <w:rsid w:val="00950DEC"/>
    <w:rsid w:val="00956864"/>
    <w:rsid w:val="009A3534"/>
    <w:rsid w:val="009A79D2"/>
    <w:rsid w:val="009B3BBC"/>
    <w:rsid w:val="009E7FFD"/>
    <w:rsid w:val="00A05CA0"/>
    <w:rsid w:val="00A116A4"/>
    <w:rsid w:val="00A14EDA"/>
    <w:rsid w:val="00A24F39"/>
    <w:rsid w:val="00A36D6A"/>
    <w:rsid w:val="00A371C7"/>
    <w:rsid w:val="00A375DA"/>
    <w:rsid w:val="00A474C3"/>
    <w:rsid w:val="00A747D3"/>
    <w:rsid w:val="00A760AF"/>
    <w:rsid w:val="00A86063"/>
    <w:rsid w:val="00A87942"/>
    <w:rsid w:val="00A87D69"/>
    <w:rsid w:val="00A97E15"/>
    <w:rsid w:val="00AB17A8"/>
    <w:rsid w:val="00AB792A"/>
    <w:rsid w:val="00AC115B"/>
    <w:rsid w:val="00AC28C0"/>
    <w:rsid w:val="00AD05C5"/>
    <w:rsid w:val="00AD4217"/>
    <w:rsid w:val="00B118E7"/>
    <w:rsid w:val="00B62BAB"/>
    <w:rsid w:val="00B642F5"/>
    <w:rsid w:val="00B66EFC"/>
    <w:rsid w:val="00B7553A"/>
    <w:rsid w:val="00B8289D"/>
    <w:rsid w:val="00B93B22"/>
    <w:rsid w:val="00B940A9"/>
    <w:rsid w:val="00BA700C"/>
    <w:rsid w:val="00BF0C69"/>
    <w:rsid w:val="00C23C4A"/>
    <w:rsid w:val="00C538CD"/>
    <w:rsid w:val="00C540C2"/>
    <w:rsid w:val="00C56C10"/>
    <w:rsid w:val="00C67F49"/>
    <w:rsid w:val="00C70824"/>
    <w:rsid w:val="00C726E0"/>
    <w:rsid w:val="00C75270"/>
    <w:rsid w:val="00C77040"/>
    <w:rsid w:val="00C9106D"/>
    <w:rsid w:val="00CC2B5B"/>
    <w:rsid w:val="00CE0979"/>
    <w:rsid w:val="00CE690E"/>
    <w:rsid w:val="00CF4F20"/>
    <w:rsid w:val="00D05DF4"/>
    <w:rsid w:val="00D267D9"/>
    <w:rsid w:val="00D26C41"/>
    <w:rsid w:val="00D34EEF"/>
    <w:rsid w:val="00D424AC"/>
    <w:rsid w:val="00D560ED"/>
    <w:rsid w:val="00D83A4A"/>
    <w:rsid w:val="00D87DFE"/>
    <w:rsid w:val="00DE7484"/>
    <w:rsid w:val="00E00E02"/>
    <w:rsid w:val="00E04EFA"/>
    <w:rsid w:val="00E05369"/>
    <w:rsid w:val="00E32877"/>
    <w:rsid w:val="00E36DE7"/>
    <w:rsid w:val="00E7447D"/>
    <w:rsid w:val="00E93396"/>
    <w:rsid w:val="00E9787A"/>
    <w:rsid w:val="00EA6DB5"/>
    <w:rsid w:val="00EC3D6C"/>
    <w:rsid w:val="00ED4AF4"/>
    <w:rsid w:val="00EE1C18"/>
    <w:rsid w:val="00EE5521"/>
    <w:rsid w:val="00F036ED"/>
    <w:rsid w:val="00F058F4"/>
    <w:rsid w:val="00F1351E"/>
    <w:rsid w:val="00F22D3D"/>
    <w:rsid w:val="00F30CD1"/>
    <w:rsid w:val="00F41F1D"/>
    <w:rsid w:val="00F5213C"/>
    <w:rsid w:val="00F53381"/>
    <w:rsid w:val="00F67A0B"/>
    <w:rsid w:val="00F7343F"/>
    <w:rsid w:val="00F91728"/>
    <w:rsid w:val="00FB14E3"/>
    <w:rsid w:val="00FC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6101E"/>
  <w15:chartTrackingRefBased/>
  <w15:docId w15:val="{2379258A-B131-49E5-B581-A13E456B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10"/>
  </w:style>
  <w:style w:type="paragraph" w:styleId="Heading1">
    <w:name w:val="heading 1"/>
    <w:basedOn w:val="Normal"/>
    <w:next w:val="Normal"/>
    <w:link w:val="Heading1Char"/>
    <w:uiPriority w:val="9"/>
    <w:qFormat/>
    <w:rsid w:val="00C56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C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C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C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C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C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C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C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C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C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C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C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C10"/>
    <w:rPr>
      <w:rFonts w:eastAsiaTheme="majorEastAsia" w:cstheme="majorBidi"/>
      <w:color w:val="272727" w:themeColor="text1" w:themeTint="D8"/>
    </w:rPr>
  </w:style>
  <w:style w:type="paragraph" w:styleId="Title">
    <w:name w:val="Title"/>
    <w:basedOn w:val="Normal"/>
    <w:next w:val="Normal"/>
    <w:link w:val="TitleChar"/>
    <w:uiPriority w:val="10"/>
    <w:qFormat/>
    <w:rsid w:val="00C56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C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C10"/>
    <w:pPr>
      <w:spacing w:before="160"/>
      <w:jc w:val="center"/>
    </w:pPr>
    <w:rPr>
      <w:i/>
      <w:iCs/>
      <w:color w:val="404040" w:themeColor="text1" w:themeTint="BF"/>
    </w:rPr>
  </w:style>
  <w:style w:type="character" w:customStyle="1" w:styleId="QuoteChar">
    <w:name w:val="Quote Char"/>
    <w:basedOn w:val="DefaultParagraphFont"/>
    <w:link w:val="Quote"/>
    <w:uiPriority w:val="29"/>
    <w:rsid w:val="00C56C10"/>
    <w:rPr>
      <w:i/>
      <w:iCs/>
      <w:color w:val="404040" w:themeColor="text1" w:themeTint="BF"/>
    </w:rPr>
  </w:style>
  <w:style w:type="paragraph" w:styleId="ListParagraph">
    <w:name w:val="List Paragraph"/>
    <w:basedOn w:val="Normal"/>
    <w:uiPriority w:val="34"/>
    <w:qFormat/>
    <w:rsid w:val="00C56C10"/>
    <w:pPr>
      <w:ind w:left="720"/>
      <w:contextualSpacing/>
    </w:pPr>
  </w:style>
  <w:style w:type="character" w:styleId="IntenseEmphasis">
    <w:name w:val="Intense Emphasis"/>
    <w:basedOn w:val="DefaultParagraphFont"/>
    <w:uiPriority w:val="21"/>
    <w:qFormat/>
    <w:rsid w:val="00C56C10"/>
    <w:rPr>
      <w:i/>
      <w:iCs/>
      <w:color w:val="0F4761" w:themeColor="accent1" w:themeShade="BF"/>
    </w:rPr>
  </w:style>
  <w:style w:type="paragraph" w:styleId="IntenseQuote">
    <w:name w:val="Intense Quote"/>
    <w:basedOn w:val="Normal"/>
    <w:next w:val="Normal"/>
    <w:link w:val="IntenseQuoteChar"/>
    <w:uiPriority w:val="30"/>
    <w:qFormat/>
    <w:rsid w:val="00C56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C10"/>
    <w:rPr>
      <w:i/>
      <w:iCs/>
      <w:color w:val="0F4761" w:themeColor="accent1" w:themeShade="BF"/>
    </w:rPr>
  </w:style>
  <w:style w:type="character" w:styleId="IntenseReference">
    <w:name w:val="Intense Reference"/>
    <w:basedOn w:val="DefaultParagraphFont"/>
    <w:uiPriority w:val="32"/>
    <w:qFormat/>
    <w:rsid w:val="00C56C10"/>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0769E4"/>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0769E4"/>
    <w:rPr>
      <w:rFonts w:ascii="Aptos" w:hAnsi="Aptos"/>
      <w:noProof/>
    </w:rPr>
  </w:style>
  <w:style w:type="paragraph" w:customStyle="1" w:styleId="EndNoteBibliography">
    <w:name w:val="EndNote Bibliography"/>
    <w:basedOn w:val="Normal"/>
    <w:link w:val="EndNoteBibliographyChar"/>
    <w:rsid w:val="000769E4"/>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0769E4"/>
    <w:rPr>
      <w:rFonts w:ascii="Aptos" w:hAnsi="Aptos"/>
      <w:noProof/>
    </w:rPr>
  </w:style>
  <w:style w:type="character" w:styleId="Hyperlink">
    <w:name w:val="Hyperlink"/>
    <w:basedOn w:val="DefaultParagraphFont"/>
    <w:uiPriority w:val="99"/>
    <w:unhideWhenUsed/>
    <w:rsid w:val="000769E4"/>
    <w:rPr>
      <w:color w:val="467886" w:themeColor="hyperlink"/>
      <w:u w:val="single"/>
    </w:rPr>
  </w:style>
  <w:style w:type="character" w:styleId="UnresolvedMention">
    <w:name w:val="Unresolved Mention"/>
    <w:basedOn w:val="DefaultParagraphFont"/>
    <w:uiPriority w:val="99"/>
    <w:semiHidden/>
    <w:unhideWhenUsed/>
    <w:rsid w:val="000769E4"/>
    <w:rPr>
      <w:color w:val="605E5C"/>
      <w:shd w:val="clear" w:color="auto" w:fill="E1DFDD"/>
    </w:rPr>
  </w:style>
  <w:style w:type="paragraph" w:styleId="Revision">
    <w:name w:val="Revision"/>
    <w:hidden/>
    <w:uiPriority w:val="99"/>
    <w:semiHidden/>
    <w:rsid w:val="00AD05C5"/>
    <w:pPr>
      <w:spacing w:after="0" w:line="240" w:lineRule="auto"/>
    </w:pPr>
  </w:style>
  <w:style w:type="character" w:styleId="CommentReference">
    <w:name w:val="annotation reference"/>
    <w:basedOn w:val="DefaultParagraphFont"/>
    <w:uiPriority w:val="99"/>
    <w:semiHidden/>
    <w:unhideWhenUsed/>
    <w:rsid w:val="00AD05C5"/>
    <w:rPr>
      <w:sz w:val="16"/>
      <w:szCs w:val="16"/>
    </w:rPr>
  </w:style>
  <w:style w:type="paragraph" w:styleId="CommentText">
    <w:name w:val="annotation text"/>
    <w:basedOn w:val="Normal"/>
    <w:link w:val="CommentTextChar"/>
    <w:uiPriority w:val="99"/>
    <w:unhideWhenUsed/>
    <w:rsid w:val="00AD05C5"/>
    <w:pPr>
      <w:spacing w:line="240" w:lineRule="auto"/>
    </w:pPr>
    <w:rPr>
      <w:sz w:val="20"/>
      <w:szCs w:val="20"/>
    </w:rPr>
  </w:style>
  <w:style w:type="character" w:customStyle="1" w:styleId="CommentTextChar">
    <w:name w:val="Comment Text Char"/>
    <w:basedOn w:val="DefaultParagraphFont"/>
    <w:link w:val="CommentText"/>
    <w:uiPriority w:val="99"/>
    <w:rsid w:val="00AD05C5"/>
    <w:rPr>
      <w:sz w:val="20"/>
      <w:szCs w:val="20"/>
    </w:rPr>
  </w:style>
  <w:style w:type="paragraph" w:styleId="CommentSubject">
    <w:name w:val="annotation subject"/>
    <w:basedOn w:val="CommentText"/>
    <w:next w:val="CommentText"/>
    <w:link w:val="CommentSubjectChar"/>
    <w:uiPriority w:val="99"/>
    <w:semiHidden/>
    <w:unhideWhenUsed/>
    <w:rsid w:val="00AD05C5"/>
    <w:rPr>
      <w:b/>
      <w:bCs/>
    </w:rPr>
  </w:style>
  <w:style w:type="character" w:customStyle="1" w:styleId="CommentSubjectChar">
    <w:name w:val="Comment Subject Char"/>
    <w:basedOn w:val="CommentTextChar"/>
    <w:link w:val="CommentSubject"/>
    <w:uiPriority w:val="99"/>
    <w:semiHidden/>
    <w:rsid w:val="00AD05C5"/>
    <w:rPr>
      <w:b/>
      <w:bCs/>
      <w:sz w:val="20"/>
      <w:szCs w:val="20"/>
    </w:rPr>
  </w:style>
  <w:style w:type="paragraph" w:styleId="NormalWeb">
    <w:name w:val="Normal (Web)"/>
    <w:basedOn w:val="Normal"/>
    <w:uiPriority w:val="99"/>
    <w:unhideWhenUsed/>
    <w:rsid w:val="002D5FE3"/>
    <w:pPr>
      <w:spacing w:before="100" w:beforeAutospacing="1" w:after="100" w:afterAutospacing="1" w:line="240" w:lineRule="auto"/>
    </w:pPr>
    <w:rPr>
      <w:rFonts w:ascii="Times New Roman" w:eastAsia="Times New Roman" w:hAnsi="Times New Roman" w:cs="Times New Roman"/>
      <w:kern w:val="0"/>
      <w:sz w:val="24"/>
      <w:szCs w:val="24"/>
      <w:lang w:val="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399">
      <w:bodyDiv w:val="1"/>
      <w:marLeft w:val="0"/>
      <w:marRight w:val="0"/>
      <w:marTop w:val="0"/>
      <w:marBottom w:val="0"/>
      <w:divBdr>
        <w:top w:val="none" w:sz="0" w:space="0" w:color="auto"/>
        <w:left w:val="none" w:sz="0" w:space="0" w:color="auto"/>
        <w:bottom w:val="none" w:sz="0" w:space="0" w:color="auto"/>
        <w:right w:val="none" w:sz="0" w:space="0" w:color="auto"/>
      </w:divBdr>
    </w:div>
    <w:div w:id="456411609">
      <w:bodyDiv w:val="1"/>
      <w:marLeft w:val="0"/>
      <w:marRight w:val="0"/>
      <w:marTop w:val="0"/>
      <w:marBottom w:val="0"/>
      <w:divBdr>
        <w:top w:val="none" w:sz="0" w:space="0" w:color="auto"/>
        <w:left w:val="none" w:sz="0" w:space="0" w:color="auto"/>
        <w:bottom w:val="none" w:sz="0" w:space="0" w:color="auto"/>
        <w:right w:val="none" w:sz="0" w:space="0" w:color="auto"/>
      </w:divBdr>
    </w:div>
    <w:div w:id="835609317">
      <w:bodyDiv w:val="1"/>
      <w:marLeft w:val="0"/>
      <w:marRight w:val="0"/>
      <w:marTop w:val="0"/>
      <w:marBottom w:val="0"/>
      <w:divBdr>
        <w:top w:val="none" w:sz="0" w:space="0" w:color="auto"/>
        <w:left w:val="none" w:sz="0" w:space="0" w:color="auto"/>
        <w:bottom w:val="none" w:sz="0" w:space="0" w:color="auto"/>
        <w:right w:val="none" w:sz="0" w:space="0" w:color="auto"/>
      </w:divBdr>
    </w:div>
    <w:div w:id="921986081">
      <w:bodyDiv w:val="1"/>
      <w:marLeft w:val="0"/>
      <w:marRight w:val="0"/>
      <w:marTop w:val="0"/>
      <w:marBottom w:val="0"/>
      <w:divBdr>
        <w:top w:val="none" w:sz="0" w:space="0" w:color="auto"/>
        <w:left w:val="none" w:sz="0" w:space="0" w:color="auto"/>
        <w:bottom w:val="none" w:sz="0" w:space="0" w:color="auto"/>
        <w:right w:val="none" w:sz="0" w:space="0" w:color="auto"/>
      </w:divBdr>
    </w:div>
    <w:div w:id="1083070249">
      <w:bodyDiv w:val="1"/>
      <w:marLeft w:val="0"/>
      <w:marRight w:val="0"/>
      <w:marTop w:val="0"/>
      <w:marBottom w:val="0"/>
      <w:divBdr>
        <w:top w:val="none" w:sz="0" w:space="0" w:color="auto"/>
        <w:left w:val="none" w:sz="0" w:space="0" w:color="auto"/>
        <w:bottom w:val="none" w:sz="0" w:space="0" w:color="auto"/>
        <w:right w:val="none" w:sz="0" w:space="0" w:color="auto"/>
      </w:divBdr>
    </w:div>
    <w:div w:id="163579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417-3590" TargetMode="External"/><Relationship Id="rId13" Type="http://schemas.openxmlformats.org/officeDocument/2006/relationships/hyperlink" Target="https://tobaccoatlas.org/factsheets/indones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x.doi.org/10.21474/IJAR01/106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man.or.id/news/read/195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5575/jw.v5i1.8069" TargetMode="External"/><Relationship Id="rId5" Type="http://schemas.openxmlformats.org/officeDocument/2006/relationships/styles" Target="styles.xml"/><Relationship Id="rId15" Type="http://schemas.openxmlformats.org/officeDocument/2006/relationships/hyperlink" Target="https://diff.wikimedia.org/2021/02/01/wiki-masyarakat-adat-compiling-data-of-indonesian-regulations-about-indigenous-people-in-wikimedia-projects/"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climatetracker.asia/indigenous-people-of-indonesia-fight-for-their-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be2f73-faf2-459d-94d4-8efca3cc9cc8" xsi:nil="true"/>
    <lcf76f155ced4ddcb4097134ff3c332f xmlns="589e01e5-3238-47cf-b604-195b3b4571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6D3FCCD58F304B802D9AA04D83E523" ma:contentTypeVersion="19" ma:contentTypeDescription="Create a new document." ma:contentTypeScope="" ma:versionID="c6899aa4563be667226f4535b5cb88ae">
  <xsd:schema xmlns:xsd="http://www.w3.org/2001/XMLSchema" xmlns:xs="http://www.w3.org/2001/XMLSchema" xmlns:p="http://schemas.microsoft.com/office/2006/metadata/properties" xmlns:ns2="f1be2f73-faf2-459d-94d4-8efca3cc9cc8" xmlns:ns3="589e01e5-3238-47cf-b604-195b3b4571a2" targetNamespace="http://schemas.microsoft.com/office/2006/metadata/properties" ma:root="true" ma:fieldsID="4ae7e1d1e9f146847b4e0f598a38887a" ns2:_="" ns3:_="">
    <xsd:import namespace="f1be2f73-faf2-459d-94d4-8efca3cc9cc8"/>
    <xsd:import namespace="589e01e5-3238-47cf-b604-195b3b4571a2"/>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TaxCatchAll" ma:index="24"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e01e5-3238-47cf-b604-195b3b4571a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F7F50-108C-4FD7-A467-4B2BE2F27760}">
  <ds:schemaRefs>
    <ds:schemaRef ds:uri="http://schemas.microsoft.com/office/2006/metadata/properties"/>
    <ds:schemaRef ds:uri="http://schemas.microsoft.com/office/infopath/2007/PartnerControls"/>
    <ds:schemaRef ds:uri="f1be2f73-faf2-459d-94d4-8efca3cc9cc8"/>
    <ds:schemaRef ds:uri="589e01e5-3238-47cf-b604-195b3b4571a2"/>
  </ds:schemaRefs>
</ds:datastoreItem>
</file>

<file path=customXml/itemProps2.xml><?xml version="1.0" encoding="utf-8"?>
<ds:datastoreItem xmlns:ds="http://schemas.openxmlformats.org/officeDocument/2006/customXml" ds:itemID="{57063FAF-3FD1-45B5-94D0-5464863BB006}">
  <ds:schemaRefs>
    <ds:schemaRef ds:uri="http://schemas.microsoft.com/sharepoint/v3/contenttype/forms"/>
  </ds:schemaRefs>
</ds:datastoreItem>
</file>

<file path=customXml/itemProps3.xml><?xml version="1.0" encoding="utf-8"?>
<ds:datastoreItem xmlns:ds="http://schemas.openxmlformats.org/officeDocument/2006/customXml" ds:itemID="{99379F38-6023-4583-8D5F-3C72E6A93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e2f73-faf2-459d-94d4-8efca3cc9cc8"/>
    <ds:schemaRef ds:uri="589e01e5-3238-47cf-b604-195b3b457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1673</Words>
  <Characters>10428</Characters>
  <Application>Microsoft Office Word</Application>
  <DocSecurity>0</DocSecurity>
  <Lines>189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27</cp:revision>
  <dcterms:created xsi:type="dcterms:W3CDTF">2024-11-14T22:43:00Z</dcterms:created>
  <dcterms:modified xsi:type="dcterms:W3CDTF">2024-11-18T14:00:00Z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0x0101001B6D3FCCD58F304B802D9AA04D83E523</vt:lpwstr>
  </property>
</Properties>
</file>